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57"/>
        <w:gridCol w:w="3083"/>
      </w:tblGrid>
      <w:tr w:rsidR="005B046E" w:rsidRPr="005B046E" w14:paraId="5E7D0FA4" w14:textId="77777777" w:rsidTr="0037503A">
        <w:trPr>
          <w:trHeight w:hRule="exact" w:val="634"/>
        </w:trPr>
        <w:tc>
          <w:tcPr>
            <w:tcW w:w="6057" w:type="dxa"/>
          </w:tcPr>
          <w:p w14:paraId="746F4502" w14:textId="77777777" w:rsidR="0037503A" w:rsidRPr="0037503A" w:rsidRDefault="0037503A" w:rsidP="00C44BE5">
            <w:r w:rsidRPr="0037503A">
              <w:t xml:space="preserve">Newsletter – Issue </w:t>
            </w:r>
            <w:r w:rsidR="00A11610">
              <w:t>5</w:t>
            </w:r>
          </w:p>
          <w:p w14:paraId="6BB75682" w14:textId="77777777" w:rsidR="005B046E" w:rsidRPr="005B046E" w:rsidRDefault="00A11610" w:rsidP="00C44BE5">
            <w:r>
              <w:t>November</w:t>
            </w:r>
            <w:r w:rsidR="0037503A">
              <w:t xml:space="preserve"> 202</w:t>
            </w:r>
            <w:r w:rsidR="00B568F8">
              <w:t>2</w:t>
            </w:r>
          </w:p>
        </w:tc>
        <w:tc>
          <w:tcPr>
            <w:tcW w:w="3083" w:type="dxa"/>
          </w:tcPr>
          <w:p w14:paraId="737EB1EF" w14:textId="77777777" w:rsidR="005B046E" w:rsidRPr="005B046E" w:rsidRDefault="005B046E" w:rsidP="00C44BE5"/>
        </w:tc>
      </w:tr>
      <w:tr w:rsidR="005B046E" w:rsidRPr="005B046E" w14:paraId="72195E91" w14:textId="77777777" w:rsidTr="0037503A">
        <w:trPr>
          <w:trHeight w:val="1842"/>
        </w:trPr>
        <w:tc>
          <w:tcPr>
            <w:tcW w:w="6057" w:type="dxa"/>
          </w:tcPr>
          <w:p w14:paraId="7ECDDD1E" w14:textId="77777777" w:rsidR="0090602C" w:rsidRPr="0090602C" w:rsidRDefault="0090602C" w:rsidP="00C44BE5"/>
          <w:p w14:paraId="3AA8C03C" w14:textId="77777777" w:rsidR="0037503A" w:rsidRPr="0037503A" w:rsidRDefault="0037503A" w:rsidP="00C44BE5">
            <w:pPr>
              <w:rPr>
                <w:b/>
                <w:bCs/>
              </w:rPr>
            </w:pPr>
            <w:r w:rsidRPr="0037503A">
              <w:rPr>
                <w:b/>
                <w:bCs/>
              </w:rPr>
              <w:t xml:space="preserve">To Heads of School, Training Programme Directors, </w:t>
            </w:r>
          </w:p>
          <w:p w14:paraId="76E38CD8" w14:textId="77777777" w:rsidR="0037503A" w:rsidRPr="0037503A" w:rsidRDefault="0037503A" w:rsidP="00C44BE5">
            <w:pPr>
              <w:rPr>
                <w:b/>
                <w:bCs/>
              </w:rPr>
            </w:pPr>
            <w:r w:rsidRPr="0037503A">
              <w:rPr>
                <w:b/>
                <w:bCs/>
              </w:rPr>
              <w:t xml:space="preserve">Regional Education Advisors and Representatives, College Tutors, Educational and Clinical Supervisors, all Trainers and all </w:t>
            </w:r>
            <w:r w:rsidR="003F77FB">
              <w:rPr>
                <w:b/>
                <w:bCs/>
              </w:rPr>
              <w:t xml:space="preserve">Trainee </w:t>
            </w:r>
            <w:r w:rsidRPr="0037503A">
              <w:rPr>
                <w:b/>
                <w:bCs/>
              </w:rPr>
              <w:t xml:space="preserve">Ophthalmologists </w:t>
            </w:r>
          </w:p>
          <w:p w14:paraId="129F2C83" w14:textId="77777777" w:rsidR="0090602C" w:rsidRPr="0090602C" w:rsidRDefault="0090602C" w:rsidP="00C44BE5"/>
          <w:p w14:paraId="7F7B62BF" w14:textId="77777777" w:rsidR="005B046E" w:rsidRPr="005B046E" w:rsidRDefault="005B046E" w:rsidP="00C44BE5"/>
        </w:tc>
        <w:tc>
          <w:tcPr>
            <w:tcW w:w="3083" w:type="dxa"/>
          </w:tcPr>
          <w:p w14:paraId="3B882C54" w14:textId="77777777" w:rsidR="005B046E" w:rsidRPr="005B046E" w:rsidRDefault="005B046E" w:rsidP="00C44BE5"/>
        </w:tc>
      </w:tr>
      <w:tr w:rsidR="005B046E" w:rsidRPr="005B046E" w14:paraId="21808BD0" w14:textId="77777777" w:rsidTr="0037503A">
        <w:trPr>
          <w:trHeight w:hRule="exact" w:val="418"/>
        </w:trPr>
        <w:tc>
          <w:tcPr>
            <w:tcW w:w="6057" w:type="dxa"/>
          </w:tcPr>
          <w:p w14:paraId="524DC887" w14:textId="77777777" w:rsidR="005B046E" w:rsidRPr="005B046E" w:rsidRDefault="005B046E" w:rsidP="00C44BE5"/>
        </w:tc>
        <w:tc>
          <w:tcPr>
            <w:tcW w:w="3083" w:type="dxa"/>
          </w:tcPr>
          <w:p w14:paraId="0D12B398" w14:textId="77777777" w:rsidR="005B046E" w:rsidRPr="005B046E" w:rsidRDefault="005B046E" w:rsidP="00C44BE5"/>
        </w:tc>
      </w:tr>
    </w:tbl>
    <w:p w14:paraId="5B8069E0" w14:textId="595F3835" w:rsidR="00E74A08" w:rsidRPr="00E74A08" w:rsidRDefault="00233504" w:rsidP="00C44BE5">
      <w:pPr>
        <w:ind w:left="567" w:hanging="567"/>
        <w:rPr>
          <w:b/>
        </w:rPr>
      </w:pPr>
      <w:r>
        <w:rPr>
          <w:b/>
        </w:rPr>
        <w:t xml:space="preserve">Update from </w:t>
      </w:r>
      <w:r w:rsidR="008072BE">
        <w:rPr>
          <w:b/>
        </w:rPr>
        <w:t xml:space="preserve">the </w:t>
      </w:r>
      <w:r>
        <w:rPr>
          <w:b/>
        </w:rPr>
        <w:t xml:space="preserve">Curriculum 2024 Project Team </w:t>
      </w:r>
    </w:p>
    <w:p w14:paraId="686AA2DE" w14:textId="77777777" w:rsidR="00DE3C13" w:rsidRDefault="00DE3C13" w:rsidP="00C44BE5">
      <w:pPr>
        <w:ind w:left="567" w:hanging="567"/>
        <w:rPr>
          <w:b/>
        </w:rPr>
      </w:pPr>
    </w:p>
    <w:p w14:paraId="25FC7BD5" w14:textId="12B09E95" w:rsidR="0007576C" w:rsidRPr="0007576C" w:rsidRDefault="0007576C" w:rsidP="0007576C">
      <w:r w:rsidRPr="0007576C">
        <w:t xml:space="preserve">The Curriculum 2024 Project Board and </w:t>
      </w:r>
      <w:proofErr w:type="spellStart"/>
      <w:r w:rsidRPr="0007576C">
        <w:t>ePortfolio</w:t>
      </w:r>
      <w:proofErr w:type="spellEnd"/>
      <w:r w:rsidRPr="0007576C">
        <w:t xml:space="preserve"> Steering Group, chaired by Mr Vikas Chadha and Mr Alan Cunningham respectively, have been meeting regularly since the GMC provisionally approved the curriculum</w:t>
      </w:r>
      <w:r w:rsidR="00233504">
        <w:t xml:space="preserve"> in March 2022</w:t>
      </w:r>
      <w:r w:rsidRPr="0007576C">
        <w:t>. The following activities have been instigated</w:t>
      </w:r>
      <w:r w:rsidR="00BA4E8C">
        <w:t>:</w:t>
      </w:r>
    </w:p>
    <w:p w14:paraId="477C072A" w14:textId="77777777" w:rsidR="007976C2" w:rsidRDefault="007976C2" w:rsidP="00C44BE5"/>
    <w:p w14:paraId="7C2BA78D" w14:textId="23E03ABA" w:rsidR="007976C2" w:rsidRPr="007976C2" w:rsidRDefault="00BA4E8C" w:rsidP="0017086C">
      <w:pPr>
        <w:numPr>
          <w:ilvl w:val="0"/>
          <w:numId w:val="9"/>
        </w:numPr>
      </w:pPr>
      <w:r w:rsidRPr="00BA4E8C">
        <w:rPr>
          <w:b/>
        </w:rPr>
        <w:t>Curriculum Transition Checklists (CTCs)</w:t>
      </w:r>
      <w:r>
        <w:t xml:space="preserve"> </w:t>
      </w:r>
      <w:r w:rsidR="007976C2">
        <w:t>The first CTCs were disseminated to all Educational Supervisors and ST1-3 trainees (who will be in ST</w:t>
      </w:r>
      <w:r w:rsidR="00005C89">
        <w:t>4</w:t>
      </w:r>
      <w:r w:rsidR="007976C2">
        <w:t>-</w:t>
      </w:r>
      <w:r w:rsidR="00005C89">
        <w:t>6</w:t>
      </w:r>
      <w:r w:rsidR="007976C2">
        <w:t xml:space="preserve"> when the new curriculum begins in August 2024) for completion by 30 June 2022. </w:t>
      </w:r>
      <w:r w:rsidR="007976C2" w:rsidRPr="007976C2">
        <w:t>The purposes of th</w:t>
      </w:r>
      <w:r w:rsidR="0017086C">
        <w:t>e CTCs are to p</w:t>
      </w:r>
      <w:r w:rsidR="007976C2" w:rsidRPr="007976C2">
        <w:t xml:space="preserve">rovide a benchmark of achievement in preparation for transfer to the </w:t>
      </w:r>
      <w:r w:rsidR="0017086C">
        <w:t>n</w:t>
      </w:r>
      <w:r w:rsidR="007976C2" w:rsidRPr="007976C2">
        <w:t xml:space="preserve">ew </w:t>
      </w:r>
      <w:r w:rsidR="0017086C">
        <w:t>c</w:t>
      </w:r>
      <w:r w:rsidR="007976C2" w:rsidRPr="007976C2">
        <w:t>urriculum in August 2024</w:t>
      </w:r>
      <w:r w:rsidR="0017086C">
        <w:t xml:space="preserve"> and i</w:t>
      </w:r>
      <w:r w:rsidR="007976C2" w:rsidRPr="007976C2">
        <w:t>dentify any gaps in training</w:t>
      </w:r>
      <w:r w:rsidR="0017086C">
        <w:t xml:space="preserve">. Two new CTCs on Level 3 Community Ophthalmology and Urgent Eye Care </w:t>
      </w:r>
      <w:r w:rsidR="0007576C">
        <w:t>are now available on the Curriculum 2024 webpage</w:t>
      </w:r>
      <w:r w:rsidR="00E06B4D">
        <w:t xml:space="preserve"> (</w:t>
      </w:r>
      <w:hyperlink r:id="rId8" w:history="1">
        <w:r w:rsidR="00E06B4D" w:rsidRPr="00E06B4D">
          <w:rPr>
            <w:rStyle w:val="Hyperlink"/>
          </w:rPr>
          <w:t>Implementation Note No 4</w:t>
        </w:r>
      </w:hyperlink>
      <w:r w:rsidR="00E06B4D">
        <w:t>).</w:t>
      </w:r>
    </w:p>
    <w:p w14:paraId="31C7CF80" w14:textId="77777777" w:rsidR="007976C2" w:rsidRDefault="007976C2" w:rsidP="00C44BE5"/>
    <w:p w14:paraId="59701DF7" w14:textId="6A0D4AB3" w:rsidR="007976C2" w:rsidRDefault="007976C2" w:rsidP="00C44BE5">
      <w:pPr>
        <w:pStyle w:val="ListParagraph"/>
        <w:numPr>
          <w:ilvl w:val="0"/>
          <w:numId w:val="9"/>
        </w:numPr>
      </w:pPr>
      <w:r w:rsidRPr="00BA4E8C">
        <w:rPr>
          <w:b/>
        </w:rPr>
        <w:t>Assessment Pilot</w:t>
      </w:r>
      <w:r>
        <w:t xml:space="preserve"> </w:t>
      </w:r>
      <w:r w:rsidR="00BA4E8C">
        <w:t xml:space="preserve">The pilot </w:t>
      </w:r>
      <w:r>
        <w:t>began on 18 July and finished on 14 November 2022. Six deaneries took part and we are truly grateful for the time and commitment shown by those who completed one or more of the three new assessments. We exceeded our target expectations in terms of forms and surveys completed</w:t>
      </w:r>
      <w:r w:rsidR="00A4773A">
        <w:t xml:space="preserve"> by both supervisors and trainees.</w:t>
      </w:r>
      <w:r>
        <w:t xml:space="preserve"> Certificates have been sent to those who asked for them. </w:t>
      </w:r>
    </w:p>
    <w:p w14:paraId="3D3A7CF9" w14:textId="77777777" w:rsidR="007976C2" w:rsidRDefault="007976C2" w:rsidP="00C44BE5"/>
    <w:p w14:paraId="07D93A0C" w14:textId="679BEFFB" w:rsidR="002D12BA" w:rsidRDefault="00BA4E8C" w:rsidP="002D12BA">
      <w:pPr>
        <w:pStyle w:val="ListParagraph"/>
        <w:numPr>
          <w:ilvl w:val="0"/>
          <w:numId w:val="9"/>
        </w:numPr>
      </w:pPr>
      <w:r>
        <w:rPr>
          <w:b/>
        </w:rPr>
        <w:t xml:space="preserve">New </w:t>
      </w:r>
      <w:proofErr w:type="spellStart"/>
      <w:r>
        <w:rPr>
          <w:b/>
        </w:rPr>
        <w:t>ePortfolio</w:t>
      </w:r>
      <w:proofErr w:type="spellEnd"/>
      <w:r>
        <w:rPr>
          <w:b/>
        </w:rPr>
        <w:t xml:space="preserve"> </w:t>
      </w:r>
      <w:r w:rsidR="007976C2">
        <w:t xml:space="preserve">We are delighted </w:t>
      </w:r>
      <w:r w:rsidR="007976C2" w:rsidRPr="007976C2">
        <w:rPr>
          <w:lang w:val="en-US"/>
        </w:rPr>
        <w:t xml:space="preserve">to announce that, following a rigorous selection process, </w:t>
      </w:r>
      <w:r w:rsidR="0017086C">
        <w:rPr>
          <w:lang w:val="en-US"/>
        </w:rPr>
        <w:t xml:space="preserve">the RCOphth has </w:t>
      </w:r>
      <w:r w:rsidR="007976C2" w:rsidRPr="007976C2">
        <w:rPr>
          <w:lang w:val="en-US"/>
        </w:rPr>
        <w:t xml:space="preserve">signed a contract with </w:t>
      </w:r>
      <w:proofErr w:type="spellStart"/>
      <w:r w:rsidR="007976C2" w:rsidRPr="007976C2">
        <w:rPr>
          <w:lang w:val="en-US"/>
        </w:rPr>
        <w:t>FourteenFish</w:t>
      </w:r>
      <w:proofErr w:type="spellEnd"/>
      <w:r w:rsidR="007976C2" w:rsidRPr="007976C2">
        <w:rPr>
          <w:lang w:val="en-US"/>
        </w:rPr>
        <w:t xml:space="preserve"> and that work </w:t>
      </w:r>
      <w:r w:rsidR="00005C89">
        <w:rPr>
          <w:lang w:val="en-US"/>
        </w:rPr>
        <w:t xml:space="preserve">has already started on developing the new </w:t>
      </w:r>
      <w:proofErr w:type="spellStart"/>
      <w:r w:rsidR="00005C89">
        <w:rPr>
          <w:lang w:val="en-US"/>
        </w:rPr>
        <w:t>ePortfolio</w:t>
      </w:r>
      <w:proofErr w:type="spellEnd"/>
      <w:r w:rsidR="007976C2" w:rsidRPr="007976C2">
        <w:rPr>
          <w:lang w:val="en-US"/>
        </w:rPr>
        <w:t xml:space="preserve">. </w:t>
      </w:r>
      <w:proofErr w:type="spellStart"/>
      <w:r w:rsidR="007976C2" w:rsidRPr="007976C2">
        <w:rPr>
          <w:lang w:val="en-US"/>
        </w:rPr>
        <w:t>FourteenFish</w:t>
      </w:r>
      <w:proofErr w:type="spellEnd"/>
      <w:r w:rsidR="007976C2" w:rsidRPr="007976C2">
        <w:rPr>
          <w:lang w:val="en-US"/>
        </w:rPr>
        <w:t xml:space="preserve"> supply the RCGP’s trainee </w:t>
      </w:r>
      <w:proofErr w:type="spellStart"/>
      <w:r w:rsidR="007976C2" w:rsidRPr="007976C2">
        <w:rPr>
          <w:lang w:val="en-US"/>
        </w:rPr>
        <w:t>ePortfolio</w:t>
      </w:r>
      <w:proofErr w:type="spellEnd"/>
      <w:r w:rsidR="007976C2" w:rsidRPr="007976C2">
        <w:rPr>
          <w:lang w:val="en-US"/>
        </w:rPr>
        <w:t xml:space="preserve">, and successfully moved all trainees and curricula onto their platform during the pandemic, so they have a wealth of experience and knowledge of postgraduate medical education. Rather than building an </w:t>
      </w:r>
      <w:proofErr w:type="spellStart"/>
      <w:r w:rsidR="007976C2" w:rsidRPr="007976C2">
        <w:rPr>
          <w:lang w:val="en-US"/>
        </w:rPr>
        <w:t>ePortfolio</w:t>
      </w:r>
      <w:proofErr w:type="spellEnd"/>
      <w:r w:rsidR="007976C2" w:rsidRPr="007976C2">
        <w:rPr>
          <w:lang w:val="en-US"/>
        </w:rPr>
        <w:t xml:space="preserve"> from scratch, we will be working with </w:t>
      </w:r>
      <w:proofErr w:type="spellStart"/>
      <w:r w:rsidR="007976C2" w:rsidRPr="007976C2">
        <w:rPr>
          <w:lang w:val="en-US"/>
        </w:rPr>
        <w:t>FourteenFish</w:t>
      </w:r>
      <w:proofErr w:type="spellEnd"/>
      <w:r w:rsidR="007976C2" w:rsidRPr="007976C2">
        <w:rPr>
          <w:lang w:val="en-US"/>
        </w:rPr>
        <w:t xml:space="preserve"> to customize their existing templates and workflows. So we will be looking for volunteers, both trainees and supervisors, to undertake various tasks at key points to test the functionality of the </w:t>
      </w:r>
      <w:proofErr w:type="spellStart"/>
      <w:r w:rsidR="007976C2" w:rsidRPr="007976C2">
        <w:rPr>
          <w:lang w:val="en-US"/>
        </w:rPr>
        <w:t>ePortfolio</w:t>
      </w:r>
      <w:proofErr w:type="spellEnd"/>
      <w:r w:rsidR="007976C2" w:rsidRPr="007976C2">
        <w:rPr>
          <w:lang w:val="en-US"/>
        </w:rPr>
        <w:t>. </w:t>
      </w:r>
      <w:r w:rsidR="007976C2" w:rsidRPr="007976C2">
        <w:t> </w:t>
      </w:r>
      <w:r w:rsidR="003A56EE">
        <w:t>We intend to begin a full pilot of the new curriculum in August 2023.</w:t>
      </w:r>
    </w:p>
    <w:p w14:paraId="33948CD1" w14:textId="77777777" w:rsidR="002D12BA" w:rsidRDefault="002D12BA" w:rsidP="002D12BA">
      <w:pPr>
        <w:pStyle w:val="ListParagraph"/>
      </w:pPr>
    </w:p>
    <w:p w14:paraId="64EAF914" w14:textId="68F1F36F" w:rsidR="00C44BE5" w:rsidRDefault="00BA4E8C" w:rsidP="002D12BA">
      <w:pPr>
        <w:pStyle w:val="ListParagraph"/>
        <w:numPr>
          <w:ilvl w:val="0"/>
          <w:numId w:val="9"/>
        </w:numPr>
      </w:pPr>
      <w:r>
        <w:rPr>
          <w:b/>
        </w:rPr>
        <w:t xml:space="preserve">CESR </w:t>
      </w:r>
      <w:r w:rsidR="00C44BE5">
        <w:t>We have agreed a position statement with the GMC on the guidance to be given to CESR applicants in relation to the new curriculum</w:t>
      </w:r>
      <w:r w:rsidR="0007576C">
        <w:t xml:space="preserve"> which is now on the </w:t>
      </w:r>
      <w:hyperlink r:id="rId9" w:history="1">
        <w:r w:rsidR="0007576C" w:rsidRPr="00E06B4D">
          <w:rPr>
            <w:rStyle w:val="Hyperlink"/>
          </w:rPr>
          <w:t>RCOphth website</w:t>
        </w:r>
      </w:hyperlink>
      <w:r w:rsidR="00C44BE5">
        <w:t>.</w:t>
      </w:r>
      <w:r w:rsidR="0017086C">
        <w:t xml:space="preserve"> We </w:t>
      </w:r>
      <w:r w:rsidR="0017086C">
        <w:lastRenderedPageBreak/>
        <w:t>hope that this guidance will help CESR applicants decide</w:t>
      </w:r>
      <w:r w:rsidR="002D12BA">
        <w:t xml:space="preserve"> when they would like to submit their applications to the GMC. </w:t>
      </w:r>
    </w:p>
    <w:p w14:paraId="2562553A" w14:textId="77777777" w:rsidR="00C44BE5" w:rsidRDefault="00C44BE5" w:rsidP="00C44BE5">
      <w:pPr>
        <w:pStyle w:val="ListParagraph"/>
      </w:pPr>
    </w:p>
    <w:p w14:paraId="486C4732" w14:textId="65809B37" w:rsidR="00C44BE5" w:rsidRDefault="00BA4E8C" w:rsidP="00C44BE5">
      <w:pPr>
        <w:pStyle w:val="ListParagraph"/>
        <w:numPr>
          <w:ilvl w:val="0"/>
          <w:numId w:val="9"/>
        </w:numPr>
      </w:pPr>
      <w:r>
        <w:rPr>
          <w:b/>
        </w:rPr>
        <w:t xml:space="preserve">Curriculum 2024 webpage </w:t>
      </w:r>
      <w:r w:rsidR="00C44BE5">
        <w:t xml:space="preserve">The </w:t>
      </w:r>
      <w:hyperlink r:id="rId10" w:history="1">
        <w:r w:rsidR="00C44BE5" w:rsidRPr="00C44BE5">
          <w:rPr>
            <w:rStyle w:val="Hyperlink"/>
          </w:rPr>
          <w:t>website</w:t>
        </w:r>
      </w:hyperlink>
      <w:r w:rsidR="00C44BE5">
        <w:t xml:space="preserve"> has been revamped to include all curriculum documentation, links to FAQs, news and resources. Please do have a look if you have</w:t>
      </w:r>
      <w:r w:rsidR="00936BEE">
        <w:t xml:space="preserve"> not</w:t>
      </w:r>
      <w:r w:rsidR="00C44BE5">
        <w:t xml:space="preserve"> done so already. </w:t>
      </w:r>
    </w:p>
    <w:p w14:paraId="52C21ACE" w14:textId="77777777" w:rsidR="00BA4E8C" w:rsidRPr="00BA4E8C" w:rsidRDefault="00BA4E8C" w:rsidP="00BA4E8C">
      <w:pPr>
        <w:pStyle w:val="ListParagraph"/>
        <w:rPr>
          <w:b/>
        </w:rPr>
      </w:pPr>
    </w:p>
    <w:p w14:paraId="4630A1F5" w14:textId="1D70193A" w:rsidR="00BA4E8C" w:rsidRDefault="00BA4E8C" w:rsidP="00C44BE5">
      <w:pPr>
        <w:pStyle w:val="ListParagraph"/>
        <w:numPr>
          <w:ilvl w:val="0"/>
          <w:numId w:val="9"/>
        </w:numPr>
      </w:pPr>
      <w:r w:rsidRPr="00BA4E8C">
        <w:rPr>
          <w:b/>
        </w:rPr>
        <w:t>Transition Progression Requirements</w:t>
      </w:r>
      <w:r>
        <w:t xml:space="preserve"> The statement</w:t>
      </w:r>
      <w:r w:rsidR="00226691">
        <w:t xml:space="preserve">, which is </w:t>
      </w:r>
      <w:hyperlink r:id="rId11" w:history="1">
        <w:r w:rsidR="00E06B4D">
          <w:rPr>
            <w:rStyle w:val="Hyperlink"/>
          </w:rPr>
          <w:t>I</w:t>
        </w:r>
        <w:r w:rsidR="00226691" w:rsidRPr="00226691">
          <w:rPr>
            <w:rStyle w:val="Hyperlink"/>
          </w:rPr>
          <w:t xml:space="preserve">mplementation </w:t>
        </w:r>
        <w:r w:rsidR="00E06B4D">
          <w:rPr>
            <w:rStyle w:val="Hyperlink"/>
          </w:rPr>
          <w:t>N</w:t>
        </w:r>
        <w:r w:rsidR="00226691" w:rsidRPr="00226691">
          <w:rPr>
            <w:rStyle w:val="Hyperlink"/>
          </w:rPr>
          <w:t>ote</w:t>
        </w:r>
      </w:hyperlink>
      <w:r w:rsidR="00E06B4D">
        <w:rPr>
          <w:rStyle w:val="Hyperlink"/>
        </w:rPr>
        <w:t xml:space="preserve"> No 3</w:t>
      </w:r>
      <w:r w:rsidR="00226691">
        <w:t xml:space="preserve"> on the website, </w:t>
      </w:r>
      <w:r>
        <w:t xml:space="preserve">describes </w:t>
      </w:r>
      <w:r w:rsidRPr="00BA4E8C">
        <w:t>the progression between the levels and the use of Outcome 1 as part of the guidance for the transition to Curriculum 2024. The statement is intended to help trainees and trainers to understand the progression requirements for transition to the new training levels on 1 August 2024.</w:t>
      </w:r>
    </w:p>
    <w:p w14:paraId="32DBD009" w14:textId="77777777" w:rsidR="00BA4E8C" w:rsidRDefault="00BA4E8C" w:rsidP="00BA4E8C">
      <w:pPr>
        <w:pStyle w:val="ListParagraph"/>
      </w:pPr>
    </w:p>
    <w:p w14:paraId="3BB09D64" w14:textId="45A294B3" w:rsidR="00C44BE5" w:rsidRDefault="00226691" w:rsidP="00BA4E8C">
      <w:pPr>
        <w:pStyle w:val="ListParagraph"/>
        <w:numPr>
          <w:ilvl w:val="0"/>
          <w:numId w:val="9"/>
        </w:numPr>
      </w:pPr>
      <w:r w:rsidRPr="00226691">
        <w:rPr>
          <w:b/>
        </w:rPr>
        <w:t>Level 1-3 and Level 4</w:t>
      </w:r>
      <w:r>
        <w:t xml:space="preserve"> </w:t>
      </w:r>
      <w:r w:rsidR="00C44BE5">
        <w:t>Intensive work is being carried out with TPDs and Heads of School on how the new curriculum will be managed in each region. Guidance on Level 1-3 and Level 4 has been developed to help those who manage training plan future rotations.</w:t>
      </w:r>
    </w:p>
    <w:p w14:paraId="0192DBE0" w14:textId="77777777" w:rsidR="00C44BE5" w:rsidRDefault="00C44BE5" w:rsidP="00C44BE5">
      <w:pPr>
        <w:pStyle w:val="ListParagraph"/>
      </w:pPr>
    </w:p>
    <w:p w14:paraId="7A09CBFB" w14:textId="54B5D7A2" w:rsidR="00C44BE5" w:rsidRDefault="00226691" w:rsidP="00C44BE5">
      <w:pPr>
        <w:pStyle w:val="ListParagraph"/>
        <w:numPr>
          <w:ilvl w:val="0"/>
          <w:numId w:val="9"/>
        </w:numPr>
      </w:pPr>
      <w:r>
        <w:rPr>
          <w:b/>
        </w:rPr>
        <w:t xml:space="preserve">Webinars </w:t>
      </w:r>
      <w:r w:rsidR="00C44BE5">
        <w:t>We held two very successful webinars in April 2022</w:t>
      </w:r>
      <w:r w:rsidR="00005C89">
        <w:t xml:space="preserve"> (see </w:t>
      </w:r>
      <w:hyperlink r:id="rId12" w:history="1">
        <w:r w:rsidR="00005C89" w:rsidRPr="00005C89">
          <w:rPr>
            <w:rStyle w:val="Hyperlink"/>
          </w:rPr>
          <w:t>here</w:t>
        </w:r>
      </w:hyperlink>
      <w:r w:rsidR="00005C89">
        <w:t xml:space="preserve"> for a link to the video recording)</w:t>
      </w:r>
      <w:r w:rsidR="00C44BE5">
        <w:t>, followed by two lunchtime sessions at the May Congress.</w:t>
      </w:r>
    </w:p>
    <w:p w14:paraId="64E35172" w14:textId="77777777" w:rsidR="007976C2" w:rsidRDefault="007976C2" w:rsidP="00C44BE5">
      <w:pPr>
        <w:rPr>
          <w:bCs/>
          <w:u w:val="single"/>
        </w:rPr>
      </w:pPr>
    </w:p>
    <w:p w14:paraId="7FB87221" w14:textId="77777777" w:rsidR="00C748A5" w:rsidRPr="009A2315" w:rsidRDefault="00C44BE5" w:rsidP="00C44BE5">
      <w:pPr>
        <w:rPr>
          <w:bCs/>
          <w:u w:val="single"/>
        </w:rPr>
      </w:pPr>
      <w:r>
        <w:rPr>
          <w:bCs/>
          <w:u w:val="single"/>
        </w:rPr>
        <w:t>Continue to p</w:t>
      </w:r>
      <w:r w:rsidR="00C748A5" w:rsidRPr="009A2315">
        <w:rPr>
          <w:bCs/>
          <w:u w:val="single"/>
        </w:rPr>
        <w:t>repare for Curriculum 2024</w:t>
      </w:r>
    </w:p>
    <w:p w14:paraId="61FF5585" w14:textId="77777777" w:rsidR="00C748A5" w:rsidRPr="00C748A5" w:rsidRDefault="00C748A5" w:rsidP="00C44BE5">
      <w:r w:rsidRPr="00C748A5">
        <w:t xml:space="preserve">In the meantime, please </w:t>
      </w:r>
      <w:r w:rsidR="00936BEE">
        <w:t xml:space="preserve">continue to </w:t>
      </w:r>
      <w:r w:rsidRPr="00C748A5">
        <w:t xml:space="preserve">prepare for the change. </w:t>
      </w:r>
    </w:p>
    <w:p w14:paraId="1B80C123" w14:textId="77777777" w:rsidR="00C748A5" w:rsidRPr="00C748A5" w:rsidRDefault="00C748A5" w:rsidP="00C44BE5">
      <w:pPr>
        <w:numPr>
          <w:ilvl w:val="0"/>
          <w:numId w:val="8"/>
        </w:numPr>
      </w:pPr>
      <w:r w:rsidRPr="00C748A5">
        <w:t xml:space="preserve">Familiarise yourself with the draft new curriculum through the website </w:t>
      </w:r>
      <w:hyperlink r:id="rId13" w:history="1">
        <w:r w:rsidRPr="00C748A5">
          <w:rPr>
            <w:rStyle w:val="Hyperlink"/>
          </w:rPr>
          <w:t>https://www.rcophth.ac.uk/training/ophthalmic-specialist-training/ost-curriculum/curriculum-2024/</w:t>
        </w:r>
      </w:hyperlink>
      <w:r w:rsidRPr="00C748A5">
        <w:t xml:space="preserve">  </w:t>
      </w:r>
      <w:r w:rsidRPr="00C748A5" w:rsidDel="0017099F">
        <w:t xml:space="preserve"> </w:t>
      </w:r>
    </w:p>
    <w:p w14:paraId="357E0BD2" w14:textId="77777777" w:rsidR="00C748A5" w:rsidRPr="00C748A5" w:rsidRDefault="00C748A5" w:rsidP="00C44BE5">
      <w:pPr>
        <w:numPr>
          <w:ilvl w:val="0"/>
          <w:numId w:val="8"/>
        </w:numPr>
      </w:pPr>
      <w:r w:rsidRPr="00C748A5">
        <w:t xml:space="preserve">All </w:t>
      </w:r>
      <w:r w:rsidR="009A2315">
        <w:t xml:space="preserve">trainee </w:t>
      </w:r>
      <w:r w:rsidRPr="00C748A5">
        <w:t>ophthalmologists</w:t>
      </w:r>
      <w:r w:rsidR="009A2315">
        <w:t xml:space="preserve"> </w:t>
      </w:r>
      <w:r w:rsidRPr="00C748A5">
        <w:t>are strongly encouraged to acquire general competences as early as possible in their training over the next couple of years (equating to Levels 1-3 of the new curriculum).</w:t>
      </w:r>
    </w:p>
    <w:p w14:paraId="3F98424B" w14:textId="77777777" w:rsidR="00C748A5" w:rsidRPr="00C748A5" w:rsidRDefault="00C748A5" w:rsidP="00C44BE5">
      <w:pPr>
        <w:numPr>
          <w:ilvl w:val="0"/>
          <w:numId w:val="8"/>
        </w:numPr>
      </w:pPr>
      <w:r w:rsidRPr="00C748A5">
        <w:t>Trainee ophthalmologists should make plans to sit the final examinations by the end of ST5 or middle of ST6 year. This will allow a smoother transition to the new curriculum in 2024.</w:t>
      </w:r>
    </w:p>
    <w:p w14:paraId="4F340A44" w14:textId="6E24D2E3" w:rsidR="00C748A5" w:rsidRDefault="00C748A5" w:rsidP="00C44BE5">
      <w:pPr>
        <w:numPr>
          <w:ilvl w:val="0"/>
          <w:numId w:val="8"/>
        </w:numPr>
      </w:pPr>
      <w:r w:rsidRPr="00C748A5">
        <w:t>Please sign up to at least one of the sessions being organised to introduce you to the changes</w:t>
      </w:r>
      <w:r w:rsidR="009C3D24">
        <w:t xml:space="preserve"> – </w:t>
      </w:r>
      <w:r w:rsidRPr="00C748A5">
        <w:t xml:space="preserve">these </w:t>
      </w:r>
      <w:r w:rsidR="00C44BE5">
        <w:t xml:space="preserve">could </w:t>
      </w:r>
      <w:r w:rsidRPr="00C748A5">
        <w:t xml:space="preserve">include sessions in the RCOphth Congress at </w:t>
      </w:r>
      <w:r w:rsidR="00005C89">
        <w:t>Birmingham</w:t>
      </w:r>
      <w:r w:rsidRPr="00C748A5">
        <w:t xml:space="preserve"> and locally organised sessions by your TPD/Head of School/College Tutors.</w:t>
      </w:r>
    </w:p>
    <w:p w14:paraId="1A7AB66F" w14:textId="77777777" w:rsidR="00936BEE" w:rsidRDefault="00936BEE" w:rsidP="00C44BE5">
      <w:pPr>
        <w:numPr>
          <w:ilvl w:val="0"/>
          <w:numId w:val="8"/>
        </w:numPr>
      </w:pPr>
      <w:r>
        <w:t>Take part in future pilot exercises</w:t>
      </w:r>
      <w:r w:rsidR="00A4773A">
        <w:t xml:space="preserve"> when invited to do so</w:t>
      </w:r>
      <w:r>
        <w:t>.</w:t>
      </w:r>
    </w:p>
    <w:p w14:paraId="70B59118" w14:textId="77777777" w:rsidR="003F77FB" w:rsidRDefault="003F77FB" w:rsidP="00C44BE5"/>
    <w:p w14:paraId="008C3E95" w14:textId="77777777" w:rsidR="00C748A5" w:rsidRPr="00C748A5" w:rsidRDefault="00C748A5" w:rsidP="00C44BE5">
      <w:r w:rsidRPr="00C748A5">
        <w:t xml:space="preserve">Should you require further information, please send your query to </w:t>
      </w:r>
      <w:hyperlink r:id="rId14" w:history="1">
        <w:r w:rsidR="00936BEE" w:rsidRPr="00936BEE">
          <w:rPr>
            <w:rStyle w:val="Hyperlink"/>
          </w:rPr>
          <w:t>curriculum2024@rcophth.ac.uk</w:t>
        </w:r>
      </w:hyperlink>
      <w:r w:rsidR="009A2315">
        <w:t xml:space="preserve"> </w:t>
      </w:r>
      <w:r w:rsidR="003F77FB">
        <w:t>.</w:t>
      </w:r>
      <w:r w:rsidRPr="00C748A5">
        <w:t xml:space="preserve"> </w:t>
      </w:r>
    </w:p>
    <w:p w14:paraId="1F498D28" w14:textId="77777777" w:rsidR="00E74A08" w:rsidRPr="00E74A08" w:rsidRDefault="00E74A08" w:rsidP="00C44BE5">
      <w:pPr>
        <w:rPr>
          <w:lang w:val="en-US"/>
        </w:rPr>
      </w:pPr>
    </w:p>
    <w:p w14:paraId="63B905C1" w14:textId="1EA62643" w:rsidR="00E74A08" w:rsidRPr="00E74A08" w:rsidRDefault="00E74A08" w:rsidP="00C44BE5">
      <w:pPr>
        <w:rPr>
          <w:lang w:val="en-US"/>
        </w:rPr>
      </w:pPr>
      <w:r w:rsidRPr="00E74A08">
        <w:rPr>
          <w:lang w:val="en-US"/>
        </w:rPr>
        <w:t>Yours sincerely</w:t>
      </w:r>
      <w:r w:rsidR="00571551">
        <w:rPr>
          <w:lang w:val="en-US"/>
        </w:rPr>
        <w:t>,</w:t>
      </w:r>
    </w:p>
    <w:p w14:paraId="51EE7299" w14:textId="77777777" w:rsidR="00E74A08" w:rsidRDefault="0017086C" w:rsidP="00C44BE5">
      <w:r w:rsidRPr="008A2D22">
        <w:rPr>
          <w:noProof/>
        </w:rPr>
        <w:drawing>
          <wp:inline distT="0" distB="0" distL="0" distR="0" wp14:anchorId="16550606" wp14:editId="27C50A4B">
            <wp:extent cx="1123742" cy="527050"/>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biLevel thresh="25000"/>
                      <a:extLst>
                        <a:ext uri="{28A0092B-C50C-407E-A947-70E740481C1C}">
                          <a14:useLocalDpi xmlns:a14="http://schemas.microsoft.com/office/drawing/2010/main" val="0"/>
                        </a:ext>
                      </a:extLst>
                    </a:blip>
                    <a:stretch>
                      <a:fillRect/>
                    </a:stretch>
                  </pic:blipFill>
                  <pic:spPr>
                    <a:xfrm>
                      <a:off x="0" y="0"/>
                      <a:ext cx="1152543" cy="540558"/>
                    </a:xfrm>
                    <a:prstGeom prst="rect">
                      <a:avLst/>
                    </a:prstGeom>
                  </pic:spPr>
                </pic:pic>
              </a:graphicData>
            </a:graphic>
          </wp:inline>
        </w:drawing>
      </w:r>
      <w:r w:rsidR="00BD6B07">
        <w:tab/>
      </w:r>
      <w:r w:rsidR="00BD6B07">
        <w:tab/>
      </w:r>
      <w:r w:rsidR="00804181">
        <w:tab/>
      </w:r>
      <w:r w:rsidR="00804181">
        <w:tab/>
      </w:r>
      <w:r w:rsidR="00BD6B07">
        <w:rPr>
          <w:noProof/>
        </w:rPr>
        <mc:AlternateContent>
          <mc:Choice Requires="wps">
            <w:drawing>
              <wp:inline distT="0" distB="0" distL="0" distR="0" wp14:anchorId="3F6BE221" wp14:editId="28CEEA53">
                <wp:extent cx="304800" cy="304800"/>
                <wp:effectExtent l="0" t="0" r="0" b="0"/>
                <wp:docPr id="5" name="AutoShape 2" descr="Signa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DA4AED" id="AutoShape 2" o:spid="_x0000_s1026" alt="Signa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mJZvgIAAMk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D4mJZvgIA&#10;AMkFAAAOAAAAAAAAAAAAAAAAAC4CAABkcnMvZTJvRG9jLnhtbFBLAQItABQABgAIAAAAIQBMoOks&#10;2AAAAAMBAAAPAAAAAAAAAAAAAAAAABgFAABkcnMvZG93bnJldi54bWxQSwUGAAAAAAQABADzAAAA&#10;HQYAAAAA&#10;" filled="f" stroked="f">
                <o:lock v:ext="edit" aspectratio="t"/>
                <w10:anchorlock/>
              </v:rect>
            </w:pict>
          </mc:Fallback>
        </mc:AlternateContent>
      </w:r>
      <w:r w:rsidR="00BD6B07">
        <w:rPr>
          <w:noProof/>
        </w:rPr>
        <w:drawing>
          <wp:inline distT="0" distB="0" distL="0" distR="0" wp14:anchorId="25003FEE" wp14:editId="15A155C5">
            <wp:extent cx="304800" cy="304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r w:rsidR="00936BEE" w:rsidRPr="00BD6B07">
        <w:rPr>
          <w:noProof/>
        </w:rPr>
        <w:drawing>
          <wp:inline distT="0" distB="0" distL="0" distR="0" wp14:anchorId="696424E8" wp14:editId="04049375">
            <wp:extent cx="1111250" cy="28748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85784" cy="306770"/>
                    </a:xfrm>
                    <a:prstGeom prst="rect">
                      <a:avLst/>
                    </a:prstGeom>
                  </pic:spPr>
                </pic:pic>
              </a:graphicData>
            </a:graphic>
          </wp:inline>
        </w:drawing>
      </w:r>
    </w:p>
    <w:p w14:paraId="43AF292E" w14:textId="72C4A2CA" w:rsidR="00E74A08" w:rsidRPr="0017086C" w:rsidRDefault="0017086C" w:rsidP="00C44BE5">
      <w:pPr>
        <w:rPr>
          <w:b/>
        </w:rPr>
      </w:pPr>
      <w:r w:rsidRPr="0017086C">
        <w:rPr>
          <w:b/>
        </w:rPr>
        <w:t>Ms Sarah Maling FRCOphth</w:t>
      </w:r>
      <w:r>
        <w:rPr>
          <w:b/>
        </w:rPr>
        <w:tab/>
      </w:r>
      <w:r>
        <w:rPr>
          <w:b/>
        </w:rPr>
        <w:tab/>
      </w:r>
      <w:r>
        <w:rPr>
          <w:b/>
        </w:rPr>
        <w:tab/>
      </w:r>
      <w:r>
        <w:rPr>
          <w:b/>
        </w:rPr>
        <w:tab/>
      </w:r>
      <w:r>
        <w:rPr>
          <w:b/>
          <w:lang w:val="en-US"/>
        </w:rPr>
        <w:t xml:space="preserve">Dr Vikas </w:t>
      </w:r>
      <w:r w:rsidRPr="00B568F8">
        <w:rPr>
          <w:b/>
          <w:bCs/>
        </w:rPr>
        <w:t>Chadha</w:t>
      </w:r>
      <w:r w:rsidRPr="00804181">
        <w:rPr>
          <w:b/>
          <w:lang w:val="en-US"/>
        </w:rPr>
        <w:t xml:space="preserve"> FRCOphth</w:t>
      </w:r>
      <w:r>
        <w:tab/>
      </w:r>
    </w:p>
    <w:p w14:paraId="31CB9C22" w14:textId="7CA601D6" w:rsidR="00E74A08" w:rsidRDefault="00E74A08" w:rsidP="00C44BE5">
      <w:pPr>
        <w:rPr>
          <w:i/>
          <w:lang w:val="en-US"/>
        </w:rPr>
      </w:pPr>
      <w:r w:rsidRPr="005F5723">
        <w:rPr>
          <w:i/>
          <w:lang w:val="en-US"/>
        </w:rPr>
        <w:t>Chair – Training Committee</w:t>
      </w:r>
      <w:r w:rsidR="00804181">
        <w:rPr>
          <w:i/>
          <w:lang w:val="en-US"/>
        </w:rPr>
        <w:tab/>
      </w:r>
      <w:r w:rsidR="00804181">
        <w:rPr>
          <w:i/>
          <w:lang w:val="en-US"/>
        </w:rPr>
        <w:tab/>
      </w:r>
      <w:r w:rsidR="00804181">
        <w:rPr>
          <w:i/>
          <w:lang w:val="en-US"/>
        </w:rPr>
        <w:tab/>
      </w:r>
      <w:r w:rsidR="00804181">
        <w:rPr>
          <w:i/>
          <w:lang w:val="en-US"/>
        </w:rPr>
        <w:tab/>
      </w:r>
      <w:r w:rsidR="00804181" w:rsidRPr="00804181">
        <w:rPr>
          <w:i/>
          <w:lang w:val="en-US"/>
        </w:rPr>
        <w:t>Chair – Curriculum Sub-committee</w:t>
      </w:r>
    </w:p>
    <w:p w14:paraId="6B3196B2" w14:textId="7EC16705" w:rsidR="002222EE" w:rsidRDefault="002222EE" w:rsidP="00C44BE5">
      <w:pPr>
        <w:rPr>
          <w:noProof/>
          <w:sz w:val="22"/>
          <w:szCs w:val="22"/>
          <w:lang w:eastAsia="en-GB"/>
        </w:rPr>
      </w:pPr>
    </w:p>
    <w:p w14:paraId="05696383" w14:textId="742FABD3" w:rsidR="005D3631" w:rsidRPr="00E3510B" w:rsidRDefault="00571551" w:rsidP="00C44BE5">
      <w:r>
        <w:rPr>
          <w:noProof/>
        </w:rPr>
        <w:drawing>
          <wp:inline distT="0" distB="0" distL="0" distR="0" wp14:anchorId="4979D31D" wp14:editId="13C64B81">
            <wp:extent cx="673100" cy="29768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582" cy="303208"/>
                    </a:xfrm>
                    <a:prstGeom prst="rect">
                      <a:avLst/>
                    </a:prstGeom>
                    <a:noFill/>
                  </pic:spPr>
                </pic:pic>
              </a:graphicData>
            </a:graphic>
          </wp:inline>
        </w:drawing>
      </w:r>
    </w:p>
    <w:p w14:paraId="686F1C67" w14:textId="2659E780" w:rsidR="002D19CF" w:rsidRPr="00075836" w:rsidRDefault="00571551" w:rsidP="00C44BE5">
      <w:pPr>
        <w:rPr>
          <w:b/>
        </w:rPr>
      </w:pPr>
      <w:r>
        <w:rPr>
          <w:b/>
        </w:rPr>
        <w:t>Mr Hasan Naveed</w:t>
      </w:r>
      <w:r w:rsidR="00075836" w:rsidRPr="00075836">
        <w:rPr>
          <w:b/>
        </w:rPr>
        <w:t xml:space="preserve"> </w:t>
      </w:r>
    </w:p>
    <w:p w14:paraId="09A1916F" w14:textId="77777777" w:rsidR="002D19CF" w:rsidRPr="00C870B4" w:rsidRDefault="002D19CF" w:rsidP="00C44BE5">
      <w:pPr>
        <w:rPr>
          <w:i/>
        </w:rPr>
      </w:pPr>
      <w:r>
        <w:rPr>
          <w:i/>
        </w:rPr>
        <w:t>Chair – Ophthalmologists in Training Group (OTG)</w:t>
      </w:r>
      <w:bookmarkStart w:id="0" w:name="_GoBack"/>
      <w:bookmarkEnd w:id="0"/>
    </w:p>
    <w:sectPr w:rsidR="002D19CF" w:rsidRPr="00C870B4" w:rsidSect="002D12BA">
      <w:headerReference w:type="first" r:id="rId19"/>
      <w:footerReference w:type="first" r:id="rId20"/>
      <w:pgSz w:w="11900" w:h="16840"/>
      <w:pgMar w:top="1134" w:right="1247" w:bottom="284" w:left="1247" w:header="709"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D6478" w14:textId="77777777" w:rsidR="00BA4E8C" w:rsidRDefault="00BA4E8C">
      <w:r>
        <w:separator/>
      </w:r>
    </w:p>
  </w:endnote>
  <w:endnote w:type="continuationSeparator" w:id="0">
    <w:p w14:paraId="471C4EA6" w14:textId="77777777" w:rsidR="00BA4E8C" w:rsidRDefault="00BA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3737C" w14:textId="77777777" w:rsidR="00BA4E8C" w:rsidRDefault="00BA4E8C">
    <w:pPr>
      <w:pStyle w:val="Footer"/>
    </w:pPr>
  </w:p>
  <w:p w14:paraId="7FF235A8" w14:textId="77777777" w:rsidR="00BA4E8C" w:rsidRDefault="00BA4E8C">
    <w:pPr>
      <w:pStyle w:val="Footer"/>
    </w:pPr>
  </w:p>
  <w:p w14:paraId="0A017787" w14:textId="77777777" w:rsidR="00BA4E8C" w:rsidRDefault="00BA4E8C">
    <w:pPr>
      <w:pStyle w:val="Footer"/>
    </w:pPr>
    <w:r>
      <w:rPr>
        <w:noProof/>
        <w:lang w:eastAsia="en-GB"/>
      </w:rPr>
      <w:drawing>
        <wp:anchor distT="0" distB="0" distL="114300" distR="114300" simplePos="0" relativeHeight="251664384" behindDoc="1" locked="0" layoutInCell="1" allowOverlap="1" wp14:anchorId="56F1FDF7" wp14:editId="1CA8CE4A">
          <wp:simplePos x="0" y="0"/>
          <wp:positionH relativeFrom="column">
            <wp:posOffset>4836795</wp:posOffset>
          </wp:positionH>
          <wp:positionV relativeFrom="page">
            <wp:posOffset>9563100</wp:posOffset>
          </wp:positionV>
          <wp:extent cx="1439545" cy="466090"/>
          <wp:effectExtent l="0" t="0" r="8255" b="0"/>
          <wp:wrapNone/>
          <wp:docPr id="38" name="Picture 38" descr="Description: Brand New Design:Users:stuartmarsh:Desktop:RCOphth Charity Text 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rand New Design:Users:stuartmarsh:Desktop:RCOphth Charity Text A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46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33581" w14:textId="77777777" w:rsidR="00BA4E8C" w:rsidRDefault="00BA4E8C">
    <w:pPr>
      <w:pStyle w:val="Footer"/>
    </w:pPr>
  </w:p>
  <w:p w14:paraId="1438904D" w14:textId="77777777" w:rsidR="00BA4E8C" w:rsidRDefault="00BA4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5B73B" w14:textId="77777777" w:rsidR="00BA4E8C" w:rsidRDefault="00BA4E8C">
      <w:r>
        <w:separator/>
      </w:r>
    </w:p>
  </w:footnote>
  <w:footnote w:type="continuationSeparator" w:id="0">
    <w:p w14:paraId="2D60E262" w14:textId="77777777" w:rsidR="00BA4E8C" w:rsidRDefault="00BA4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087B3" w14:textId="77777777" w:rsidR="00BA4E8C" w:rsidRDefault="00BA4E8C">
    <w:pPr>
      <w:pStyle w:val="Header"/>
    </w:pPr>
    <w:r>
      <w:rPr>
        <w:noProof/>
        <w:lang w:eastAsia="en-GB"/>
      </w:rPr>
      <w:drawing>
        <wp:anchor distT="0" distB="0" distL="114300" distR="114300" simplePos="0" relativeHeight="251662336" behindDoc="1" locked="0" layoutInCell="1" allowOverlap="1" wp14:anchorId="4B21261A" wp14:editId="51BF8292">
          <wp:simplePos x="0" y="0"/>
          <wp:positionH relativeFrom="page">
            <wp:posOffset>5688965</wp:posOffset>
          </wp:positionH>
          <wp:positionV relativeFrom="page">
            <wp:posOffset>1620520</wp:posOffset>
          </wp:positionV>
          <wp:extent cx="1417320" cy="14478"/>
          <wp:effectExtent l="0" t="0" r="0" b="1143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edRule1200.png"/>
                  <pic:cNvPicPr/>
                </pic:nvPicPr>
                <pic:blipFill>
                  <a:blip r:embed="rId1">
                    <a:extLst>
                      <a:ext uri="{28A0092B-C50C-407E-A947-70E740481C1C}">
                        <a14:useLocalDpi xmlns:a14="http://schemas.microsoft.com/office/drawing/2010/main" val="0"/>
                      </a:ext>
                    </a:extLst>
                  </a:blip>
                  <a:stretch>
                    <a:fillRect/>
                  </a:stretch>
                </pic:blipFill>
                <pic:spPr>
                  <a:xfrm>
                    <a:off x="0" y="0"/>
                    <a:ext cx="1417320" cy="14478"/>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3B00EDB0" wp14:editId="2DAB39D4">
          <wp:simplePos x="0" y="0"/>
          <wp:positionH relativeFrom="page">
            <wp:posOffset>5688965</wp:posOffset>
          </wp:positionH>
          <wp:positionV relativeFrom="page">
            <wp:posOffset>360045</wp:posOffset>
          </wp:positionV>
          <wp:extent cx="1402920" cy="1081587"/>
          <wp:effectExtent l="0" t="0" r="0" b="1079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phthCrest1200.png"/>
                  <pic:cNvPicPr/>
                </pic:nvPicPr>
                <pic:blipFill>
                  <a:blip r:embed="rId2">
                    <a:extLst>
                      <a:ext uri="{28A0092B-C50C-407E-A947-70E740481C1C}">
                        <a14:useLocalDpi xmlns:a14="http://schemas.microsoft.com/office/drawing/2010/main" val="0"/>
                      </a:ext>
                    </a:extLst>
                  </a:blip>
                  <a:stretch>
                    <a:fillRect/>
                  </a:stretch>
                </pic:blipFill>
                <pic:spPr>
                  <a:xfrm>
                    <a:off x="0" y="0"/>
                    <a:ext cx="1402920" cy="1081587"/>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A72B072" w14:textId="77777777" w:rsidR="00BA4E8C" w:rsidRDefault="00BA4E8C">
    <w:pPr>
      <w:pStyle w:val="Header"/>
    </w:pPr>
  </w:p>
  <w:p w14:paraId="4CE7FE20" w14:textId="77777777" w:rsidR="00BA4E8C" w:rsidRDefault="00BA4E8C">
    <w:pPr>
      <w:pStyle w:val="Header"/>
    </w:pPr>
  </w:p>
  <w:p w14:paraId="7B0CDD00" w14:textId="77777777" w:rsidR="00BA4E8C" w:rsidRDefault="00BA4E8C" w:rsidP="00590E53">
    <w:pPr>
      <w:pStyle w:val="Header"/>
      <w:tabs>
        <w:tab w:val="clear" w:pos="4320"/>
        <w:tab w:val="clear" w:pos="8640"/>
        <w:tab w:val="left" w:pos="720"/>
      </w:tabs>
    </w:pPr>
    <w:r>
      <w:rPr>
        <w:noProof/>
        <w:lang w:eastAsia="en-GB"/>
      </w:rPr>
      <w:drawing>
        <wp:anchor distT="0" distB="0" distL="114300" distR="114300" simplePos="0" relativeHeight="251661312" behindDoc="1" locked="0" layoutInCell="1" allowOverlap="1" wp14:anchorId="1CD63908" wp14:editId="6156B887">
          <wp:simplePos x="0" y="0"/>
          <wp:positionH relativeFrom="page">
            <wp:posOffset>5688965</wp:posOffset>
          </wp:positionH>
          <wp:positionV relativeFrom="page">
            <wp:posOffset>1800225</wp:posOffset>
          </wp:positionV>
          <wp:extent cx="1243330" cy="1028700"/>
          <wp:effectExtent l="0" t="0" r="1270" b="1270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hBarnes1200.png"/>
                  <pic:cNvPicPr/>
                </pic:nvPicPr>
                <pic:blipFill>
                  <a:blip r:embed="rId3">
                    <a:extLst>
                      <a:ext uri="{28A0092B-C50C-407E-A947-70E740481C1C}">
                        <a14:useLocalDpi xmlns:a14="http://schemas.microsoft.com/office/drawing/2010/main" val="0"/>
                      </a:ext>
                    </a:extLst>
                  </a:blip>
                  <a:stretch>
                    <a:fillRect/>
                  </a:stretch>
                </pic:blipFill>
                <pic:spPr>
                  <a:xfrm>
                    <a:off x="0" y="0"/>
                    <a:ext cx="1243330" cy="1028700"/>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47B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708FAA0"/>
    <w:lvl w:ilvl="0">
      <w:start w:val="1"/>
      <w:numFmt w:val="decimal"/>
      <w:lvlText w:val="%1."/>
      <w:lvlJc w:val="left"/>
      <w:pPr>
        <w:tabs>
          <w:tab w:val="num" w:pos="1492"/>
        </w:tabs>
        <w:ind w:left="1492" w:hanging="360"/>
      </w:pPr>
    </w:lvl>
  </w:abstractNum>
  <w:abstractNum w:abstractNumId="2" w15:restartNumberingAfterBreak="0">
    <w:nsid w:val="FFFFFF7F"/>
    <w:multiLevelType w:val="singleLevel"/>
    <w:tmpl w:val="E84AF314"/>
    <w:lvl w:ilvl="0">
      <w:start w:val="1"/>
      <w:numFmt w:val="decimal"/>
      <w:lvlText w:val="%1."/>
      <w:lvlJc w:val="left"/>
      <w:pPr>
        <w:tabs>
          <w:tab w:val="num" w:pos="643"/>
        </w:tabs>
        <w:ind w:left="643" w:hanging="360"/>
      </w:pPr>
    </w:lvl>
  </w:abstractNum>
  <w:abstractNum w:abstractNumId="3" w15:restartNumberingAfterBreak="0">
    <w:nsid w:val="07625CE7"/>
    <w:multiLevelType w:val="hybridMultilevel"/>
    <w:tmpl w:val="9BEE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B7C3F"/>
    <w:multiLevelType w:val="hybridMultilevel"/>
    <w:tmpl w:val="F252BCE8"/>
    <w:lvl w:ilvl="0" w:tplc="902C86BA">
      <w:start w:val="2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63851"/>
    <w:multiLevelType w:val="hybridMultilevel"/>
    <w:tmpl w:val="854C36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9666E"/>
    <w:multiLevelType w:val="hybridMultilevel"/>
    <w:tmpl w:val="A034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4D3A61"/>
    <w:multiLevelType w:val="hybridMultilevel"/>
    <w:tmpl w:val="DB8C1DD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208608A"/>
    <w:multiLevelType w:val="hybridMultilevel"/>
    <w:tmpl w:val="ED22CA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8"/>
  </w:num>
  <w:num w:numId="3">
    <w:abstractNumId w:val="2"/>
  </w:num>
  <w:num w:numId="4">
    <w:abstractNumId w:val="1"/>
  </w:num>
  <w:num w:numId="5">
    <w:abstractNumId w:val="5"/>
  </w:num>
  <w:num w:numId="6">
    <w:abstractNumId w:val="4"/>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3D8"/>
    <w:rsid w:val="00005C89"/>
    <w:rsid w:val="0001116D"/>
    <w:rsid w:val="000354AE"/>
    <w:rsid w:val="0007576C"/>
    <w:rsid w:val="00075836"/>
    <w:rsid w:val="00076CCA"/>
    <w:rsid w:val="00086BFE"/>
    <w:rsid w:val="00096EEA"/>
    <w:rsid w:val="000A383A"/>
    <w:rsid w:val="000C4905"/>
    <w:rsid w:val="000D293E"/>
    <w:rsid w:val="000E6AB1"/>
    <w:rsid w:val="000F3187"/>
    <w:rsid w:val="00100F6E"/>
    <w:rsid w:val="00111771"/>
    <w:rsid w:val="00140F8A"/>
    <w:rsid w:val="001565B4"/>
    <w:rsid w:val="0017086C"/>
    <w:rsid w:val="0018428E"/>
    <w:rsid w:val="001933FD"/>
    <w:rsid w:val="00194714"/>
    <w:rsid w:val="0019649E"/>
    <w:rsid w:val="001B45EC"/>
    <w:rsid w:val="001B77A9"/>
    <w:rsid w:val="001C5FC6"/>
    <w:rsid w:val="001E1215"/>
    <w:rsid w:val="002152EB"/>
    <w:rsid w:val="002222EE"/>
    <w:rsid w:val="00226691"/>
    <w:rsid w:val="00233504"/>
    <w:rsid w:val="00276BC2"/>
    <w:rsid w:val="002807FB"/>
    <w:rsid w:val="002962C5"/>
    <w:rsid w:val="002A28BE"/>
    <w:rsid w:val="002D12BA"/>
    <w:rsid w:val="002D19CF"/>
    <w:rsid w:val="002D700E"/>
    <w:rsid w:val="002E0BB7"/>
    <w:rsid w:val="002F5EF8"/>
    <w:rsid w:val="0030472E"/>
    <w:rsid w:val="00305B74"/>
    <w:rsid w:val="00317374"/>
    <w:rsid w:val="003229A8"/>
    <w:rsid w:val="00330399"/>
    <w:rsid w:val="003304CD"/>
    <w:rsid w:val="00347C07"/>
    <w:rsid w:val="00356F7A"/>
    <w:rsid w:val="0036277F"/>
    <w:rsid w:val="00362DF7"/>
    <w:rsid w:val="0037503A"/>
    <w:rsid w:val="003918A4"/>
    <w:rsid w:val="003A56EE"/>
    <w:rsid w:val="003B3C44"/>
    <w:rsid w:val="003C083C"/>
    <w:rsid w:val="003C123B"/>
    <w:rsid w:val="003F05B7"/>
    <w:rsid w:val="003F77FB"/>
    <w:rsid w:val="00416641"/>
    <w:rsid w:val="004209F8"/>
    <w:rsid w:val="00431D14"/>
    <w:rsid w:val="00435F95"/>
    <w:rsid w:val="00484463"/>
    <w:rsid w:val="004A20D2"/>
    <w:rsid w:val="004B6DEF"/>
    <w:rsid w:val="004C5A16"/>
    <w:rsid w:val="004D27C3"/>
    <w:rsid w:val="004E27DB"/>
    <w:rsid w:val="00555B7D"/>
    <w:rsid w:val="00562FE9"/>
    <w:rsid w:val="00570F75"/>
    <w:rsid w:val="00571551"/>
    <w:rsid w:val="005779B7"/>
    <w:rsid w:val="00585242"/>
    <w:rsid w:val="00585E09"/>
    <w:rsid w:val="00590E53"/>
    <w:rsid w:val="00596C9C"/>
    <w:rsid w:val="005B046E"/>
    <w:rsid w:val="005B09D2"/>
    <w:rsid w:val="005D3631"/>
    <w:rsid w:val="005D4F60"/>
    <w:rsid w:val="005D5FDC"/>
    <w:rsid w:val="005E216B"/>
    <w:rsid w:val="005F66E7"/>
    <w:rsid w:val="005F691C"/>
    <w:rsid w:val="006013AC"/>
    <w:rsid w:val="00614CD4"/>
    <w:rsid w:val="00664083"/>
    <w:rsid w:val="00667477"/>
    <w:rsid w:val="00672E40"/>
    <w:rsid w:val="006778ED"/>
    <w:rsid w:val="006879DA"/>
    <w:rsid w:val="00690367"/>
    <w:rsid w:val="00692BF3"/>
    <w:rsid w:val="0069543E"/>
    <w:rsid w:val="006A3A35"/>
    <w:rsid w:val="006B228B"/>
    <w:rsid w:val="006C46BB"/>
    <w:rsid w:val="006D5AA3"/>
    <w:rsid w:val="006E4FA3"/>
    <w:rsid w:val="006E54EE"/>
    <w:rsid w:val="006E798E"/>
    <w:rsid w:val="007309D1"/>
    <w:rsid w:val="00745A2F"/>
    <w:rsid w:val="0075283D"/>
    <w:rsid w:val="007639DA"/>
    <w:rsid w:val="007655E9"/>
    <w:rsid w:val="00767C48"/>
    <w:rsid w:val="007823D8"/>
    <w:rsid w:val="007976C2"/>
    <w:rsid w:val="00797BBB"/>
    <w:rsid w:val="007A1622"/>
    <w:rsid w:val="007B27DA"/>
    <w:rsid w:val="007D44F3"/>
    <w:rsid w:val="007D4AEF"/>
    <w:rsid w:val="007D635E"/>
    <w:rsid w:val="007E6A8E"/>
    <w:rsid w:val="007F387C"/>
    <w:rsid w:val="00804181"/>
    <w:rsid w:val="008072BE"/>
    <w:rsid w:val="008167D7"/>
    <w:rsid w:val="00823BF6"/>
    <w:rsid w:val="00863C52"/>
    <w:rsid w:val="00866C15"/>
    <w:rsid w:val="008677D3"/>
    <w:rsid w:val="00875735"/>
    <w:rsid w:val="008762F6"/>
    <w:rsid w:val="00880E4F"/>
    <w:rsid w:val="00882FD9"/>
    <w:rsid w:val="0089173D"/>
    <w:rsid w:val="0089368A"/>
    <w:rsid w:val="00893E11"/>
    <w:rsid w:val="008B4379"/>
    <w:rsid w:val="008D6516"/>
    <w:rsid w:val="008E260B"/>
    <w:rsid w:val="008E3ED8"/>
    <w:rsid w:val="008F6589"/>
    <w:rsid w:val="008F7619"/>
    <w:rsid w:val="0090602C"/>
    <w:rsid w:val="00936BEE"/>
    <w:rsid w:val="00943AA2"/>
    <w:rsid w:val="00962D26"/>
    <w:rsid w:val="00965BC0"/>
    <w:rsid w:val="009713DD"/>
    <w:rsid w:val="009766A8"/>
    <w:rsid w:val="009931EC"/>
    <w:rsid w:val="009A2315"/>
    <w:rsid w:val="009B2816"/>
    <w:rsid w:val="009B766E"/>
    <w:rsid w:val="009C0664"/>
    <w:rsid w:val="009C3D24"/>
    <w:rsid w:val="009D4B1C"/>
    <w:rsid w:val="009E73BF"/>
    <w:rsid w:val="009E7EC6"/>
    <w:rsid w:val="00A11610"/>
    <w:rsid w:val="00A13F82"/>
    <w:rsid w:val="00A374A4"/>
    <w:rsid w:val="00A4773A"/>
    <w:rsid w:val="00A6709D"/>
    <w:rsid w:val="00A727FB"/>
    <w:rsid w:val="00A77F05"/>
    <w:rsid w:val="00A86A58"/>
    <w:rsid w:val="00A928C0"/>
    <w:rsid w:val="00AC7CB9"/>
    <w:rsid w:val="00AF3970"/>
    <w:rsid w:val="00AF6F6D"/>
    <w:rsid w:val="00B01810"/>
    <w:rsid w:val="00B22560"/>
    <w:rsid w:val="00B468DD"/>
    <w:rsid w:val="00B54FEE"/>
    <w:rsid w:val="00B568F8"/>
    <w:rsid w:val="00B64387"/>
    <w:rsid w:val="00B65DA0"/>
    <w:rsid w:val="00B95364"/>
    <w:rsid w:val="00B975F4"/>
    <w:rsid w:val="00BA1379"/>
    <w:rsid w:val="00BA4E8C"/>
    <w:rsid w:val="00BD6B07"/>
    <w:rsid w:val="00BF0096"/>
    <w:rsid w:val="00C0337B"/>
    <w:rsid w:val="00C35568"/>
    <w:rsid w:val="00C44BE5"/>
    <w:rsid w:val="00C748A5"/>
    <w:rsid w:val="00C86F5D"/>
    <w:rsid w:val="00C870B4"/>
    <w:rsid w:val="00C87B5E"/>
    <w:rsid w:val="00C92478"/>
    <w:rsid w:val="00C935CD"/>
    <w:rsid w:val="00C9788C"/>
    <w:rsid w:val="00CA19CD"/>
    <w:rsid w:val="00CB66B9"/>
    <w:rsid w:val="00CD6EFD"/>
    <w:rsid w:val="00CE61D2"/>
    <w:rsid w:val="00D26BA0"/>
    <w:rsid w:val="00D42894"/>
    <w:rsid w:val="00D4360F"/>
    <w:rsid w:val="00D5312E"/>
    <w:rsid w:val="00D96D26"/>
    <w:rsid w:val="00DB06A2"/>
    <w:rsid w:val="00DE3C13"/>
    <w:rsid w:val="00DE4C51"/>
    <w:rsid w:val="00E06B4D"/>
    <w:rsid w:val="00E30F6E"/>
    <w:rsid w:val="00E3510B"/>
    <w:rsid w:val="00E376FC"/>
    <w:rsid w:val="00E45702"/>
    <w:rsid w:val="00E53CD5"/>
    <w:rsid w:val="00E57671"/>
    <w:rsid w:val="00E70462"/>
    <w:rsid w:val="00E70FD4"/>
    <w:rsid w:val="00E74A08"/>
    <w:rsid w:val="00E76202"/>
    <w:rsid w:val="00E90C91"/>
    <w:rsid w:val="00E93AAC"/>
    <w:rsid w:val="00EA1346"/>
    <w:rsid w:val="00EA2A3D"/>
    <w:rsid w:val="00ED5F18"/>
    <w:rsid w:val="00EF077C"/>
    <w:rsid w:val="00F036F0"/>
    <w:rsid w:val="00F07A33"/>
    <w:rsid w:val="00F15659"/>
    <w:rsid w:val="00F17A2C"/>
    <w:rsid w:val="00F2331B"/>
    <w:rsid w:val="00F43168"/>
    <w:rsid w:val="00F452A8"/>
    <w:rsid w:val="00F470E1"/>
    <w:rsid w:val="00F73398"/>
    <w:rsid w:val="00F800BD"/>
    <w:rsid w:val="00F870B4"/>
    <w:rsid w:val="00FA3379"/>
    <w:rsid w:val="00FA3B66"/>
    <w:rsid w:val="00FC18D1"/>
    <w:rsid w:val="00FD78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5034DA3F"/>
  <w15:docId w15:val="{CDDC657B-8F90-4C91-8946-9CF5EB30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locked="1" w:qFormat="1"/>
    <w:lsdException w:name="heading 1" w:locked="1"/>
    <w:lsdException w:name="heading 2" w:locked="1" w:semiHidden="1" w:unhideWhenUs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uiPriority="22"/>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6589"/>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eastAsia="en-GB"/>
    </w:rPr>
  </w:style>
  <w:style w:type="paragraph" w:customStyle="1" w:styleId="Body">
    <w:name w:val="Body"/>
    <w:rPr>
      <w:rFonts w:ascii="Helvetica" w:eastAsia="ヒラギノ角ゴ Pro W3" w:hAnsi="Helvetica"/>
      <w:color w:val="000000"/>
      <w:sz w:val="24"/>
      <w:lang w:val="en-US" w:eastAsia="en-GB"/>
    </w:rPr>
  </w:style>
  <w:style w:type="paragraph" w:styleId="BalloonText">
    <w:name w:val="Balloon Text"/>
    <w:basedOn w:val="Normal"/>
    <w:link w:val="BalloonTextChar"/>
    <w:locked/>
    <w:rsid w:val="00096EEA"/>
    <w:rPr>
      <w:rFonts w:ascii="Segoe UI" w:hAnsi="Segoe UI" w:cs="Segoe UI"/>
      <w:sz w:val="18"/>
      <w:szCs w:val="18"/>
    </w:rPr>
  </w:style>
  <w:style w:type="character" w:customStyle="1" w:styleId="BalloonTextChar">
    <w:name w:val="Balloon Text Char"/>
    <w:link w:val="BalloonText"/>
    <w:rsid w:val="00096EEA"/>
    <w:rPr>
      <w:rFonts w:ascii="Segoe UI" w:hAnsi="Segoe UI" w:cs="Segoe UI"/>
      <w:sz w:val="18"/>
      <w:szCs w:val="18"/>
      <w:lang w:val="en-US" w:eastAsia="en-US"/>
    </w:rPr>
  </w:style>
  <w:style w:type="paragraph" w:styleId="Header">
    <w:name w:val="header"/>
    <w:basedOn w:val="Normal"/>
    <w:link w:val="HeaderChar"/>
    <w:locked/>
    <w:rsid w:val="000A383A"/>
    <w:pPr>
      <w:tabs>
        <w:tab w:val="center" w:pos="4320"/>
        <w:tab w:val="right" w:pos="8640"/>
      </w:tabs>
    </w:pPr>
  </w:style>
  <w:style w:type="character" w:customStyle="1" w:styleId="HeaderChar">
    <w:name w:val="Header Char"/>
    <w:basedOn w:val="DefaultParagraphFont"/>
    <w:link w:val="Header"/>
    <w:rsid w:val="000A383A"/>
    <w:rPr>
      <w:sz w:val="24"/>
      <w:szCs w:val="24"/>
      <w:lang w:val="en-US"/>
    </w:rPr>
  </w:style>
  <w:style w:type="paragraph" w:styleId="Footer">
    <w:name w:val="footer"/>
    <w:basedOn w:val="Normal"/>
    <w:link w:val="FooterChar"/>
    <w:locked/>
    <w:rsid w:val="000A383A"/>
    <w:pPr>
      <w:tabs>
        <w:tab w:val="center" w:pos="4320"/>
        <w:tab w:val="right" w:pos="8640"/>
      </w:tabs>
    </w:pPr>
  </w:style>
  <w:style w:type="character" w:customStyle="1" w:styleId="FooterChar">
    <w:name w:val="Footer Char"/>
    <w:basedOn w:val="DefaultParagraphFont"/>
    <w:link w:val="Footer"/>
    <w:rsid w:val="000A383A"/>
    <w:rPr>
      <w:sz w:val="24"/>
      <w:szCs w:val="24"/>
      <w:lang w:val="en-US"/>
    </w:rPr>
  </w:style>
  <w:style w:type="paragraph" w:styleId="ListParagraph">
    <w:name w:val="List Paragraph"/>
    <w:basedOn w:val="Normal"/>
    <w:uiPriority w:val="34"/>
    <w:rsid w:val="004D27C3"/>
    <w:pPr>
      <w:ind w:left="720"/>
      <w:contextualSpacing/>
    </w:pPr>
  </w:style>
  <w:style w:type="paragraph" w:styleId="NormalWeb">
    <w:name w:val="Normal (Web)"/>
    <w:basedOn w:val="Normal"/>
    <w:uiPriority w:val="99"/>
    <w:unhideWhenUsed/>
    <w:locked/>
    <w:rsid w:val="00DE3C13"/>
    <w:pPr>
      <w:spacing w:before="100" w:beforeAutospacing="1" w:after="100" w:afterAutospacing="1"/>
    </w:pPr>
    <w:rPr>
      <w:lang w:eastAsia="en-GB"/>
    </w:rPr>
  </w:style>
  <w:style w:type="character" w:styleId="Strong">
    <w:name w:val="Strong"/>
    <w:basedOn w:val="DefaultParagraphFont"/>
    <w:uiPriority w:val="22"/>
    <w:locked/>
    <w:rsid w:val="00DE3C13"/>
    <w:rPr>
      <w:b/>
      <w:bCs/>
    </w:rPr>
  </w:style>
  <w:style w:type="table" w:styleId="TableGrid">
    <w:name w:val="Table Grid"/>
    <w:basedOn w:val="TableNormal"/>
    <w:locked/>
    <w:rsid w:val="005B0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locked/>
    <w:rsid w:val="00797BBB"/>
    <w:rPr>
      <w:color w:val="0000FF" w:themeColor="hyperlink"/>
      <w:u w:val="single"/>
    </w:rPr>
  </w:style>
  <w:style w:type="character" w:styleId="CommentReference">
    <w:name w:val="annotation reference"/>
    <w:basedOn w:val="DefaultParagraphFont"/>
    <w:semiHidden/>
    <w:unhideWhenUsed/>
    <w:locked/>
    <w:rsid w:val="0089368A"/>
    <w:rPr>
      <w:sz w:val="18"/>
      <w:szCs w:val="18"/>
    </w:rPr>
  </w:style>
  <w:style w:type="paragraph" w:styleId="CommentText">
    <w:name w:val="annotation text"/>
    <w:basedOn w:val="Normal"/>
    <w:link w:val="CommentTextChar"/>
    <w:semiHidden/>
    <w:unhideWhenUsed/>
    <w:locked/>
    <w:rsid w:val="0089368A"/>
  </w:style>
  <w:style w:type="character" w:customStyle="1" w:styleId="CommentTextChar">
    <w:name w:val="Comment Text Char"/>
    <w:basedOn w:val="DefaultParagraphFont"/>
    <w:link w:val="CommentText"/>
    <w:semiHidden/>
    <w:rsid w:val="0089368A"/>
    <w:rPr>
      <w:rFonts w:ascii="Calibri" w:hAnsi="Calibri"/>
      <w:sz w:val="24"/>
      <w:szCs w:val="24"/>
    </w:rPr>
  </w:style>
  <w:style w:type="paragraph" w:styleId="CommentSubject">
    <w:name w:val="annotation subject"/>
    <w:basedOn w:val="CommentText"/>
    <w:next w:val="CommentText"/>
    <w:link w:val="CommentSubjectChar"/>
    <w:semiHidden/>
    <w:unhideWhenUsed/>
    <w:locked/>
    <w:rsid w:val="0089368A"/>
    <w:rPr>
      <w:b/>
      <w:bCs/>
      <w:sz w:val="20"/>
      <w:szCs w:val="20"/>
    </w:rPr>
  </w:style>
  <w:style w:type="character" w:customStyle="1" w:styleId="CommentSubjectChar">
    <w:name w:val="Comment Subject Char"/>
    <w:basedOn w:val="CommentTextChar"/>
    <w:link w:val="CommentSubject"/>
    <w:semiHidden/>
    <w:rsid w:val="0089368A"/>
    <w:rPr>
      <w:rFonts w:ascii="Calibri" w:hAnsi="Calibri"/>
      <w:b/>
      <w:bCs/>
      <w:sz w:val="24"/>
      <w:szCs w:val="24"/>
    </w:rPr>
  </w:style>
  <w:style w:type="character" w:styleId="FollowedHyperlink">
    <w:name w:val="FollowedHyperlink"/>
    <w:basedOn w:val="DefaultParagraphFont"/>
    <w:locked/>
    <w:rsid w:val="00943AA2"/>
    <w:rPr>
      <w:color w:val="800080" w:themeColor="followedHyperlink"/>
      <w:u w:val="single"/>
    </w:rPr>
  </w:style>
  <w:style w:type="character" w:styleId="UnresolvedMention">
    <w:name w:val="Unresolved Mention"/>
    <w:basedOn w:val="DefaultParagraphFont"/>
    <w:uiPriority w:val="99"/>
    <w:semiHidden/>
    <w:unhideWhenUsed/>
    <w:rsid w:val="00C74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626620">
      <w:bodyDiv w:val="1"/>
      <w:marLeft w:val="0"/>
      <w:marRight w:val="0"/>
      <w:marTop w:val="0"/>
      <w:marBottom w:val="0"/>
      <w:divBdr>
        <w:top w:val="none" w:sz="0" w:space="0" w:color="auto"/>
        <w:left w:val="none" w:sz="0" w:space="0" w:color="auto"/>
        <w:bottom w:val="none" w:sz="0" w:space="0" w:color="auto"/>
        <w:right w:val="none" w:sz="0" w:space="0" w:color="auto"/>
      </w:divBdr>
    </w:div>
    <w:div w:id="540098863">
      <w:bodyDiv w:val="1"/>
      <w:marLeft w:val="0"/>
      <w:marRight w:val="0"/>
      <w:marTop w:val="0"/>
      <w:marBottom w:val="0"/>
      <w:divBdr>
        <w:top w:val="none" w:sz="0" w:space="0" w:color="auto"/>
        <w:left w:val="none" w:sz="0" w:space="0" w:color="auto"/>
        <w:bottom w:val="none" w:sz="0" w:space="0" w:color="auto"/>
        <w:right w:val="none" w:sz="0" w:space="0" w:color="auto"/>
      </w:divBdr>
    </w:div>
    <w:div w:id="779960096">
      <w:bodyDiv w:val="1"/>
      <w:marLeft w:val="0"/>
      <w:marRight w:val="0"/>
      <w:marTop w:val="0"/>
      <w:marBottom w:val="0"/>
      <w:divBdr>
        <w:top w:val="none" w:sz="0" w:space="0" w:color="auto"/>
        <w:left w:val="none" w:sz="0" w:space="0" w:color="auto"/>
        <w:bottom w:val="none" w:sz="0" w:space="0" w:color="auto"/>
        <w:right w:val="none" w:sz="0" w:space="0" w:color="auto"/>
      </w:divBdr>
    </w:div>
    <w:div w:id="929046364">
      <w:bodyDiv w:val="1"/>
      <w:marLeft w:val="0"/>
      <w:marRight w:val="0"/>
      <w:marTop w:val="0"/>
      <w:marBottom w:val="0"/>
      <w:divBdr>
        <w:top w:val="none" w:sz="0" w:space="0" w:color="auto"/>
        <w:left w:val="none" w:sz="0" w:space="0" w:color="auto"/>
        <w:bottom w:val="none" w:sz="0" w:space="0" w:color="auto"/>
        <w:right w:val="none" w:sz="0" w:space="0" w:color="auto"/>
      </w:divBdr>
    </w:div>
    <w:div w:id="973681798">
      <w:bodyDiv w:val="1"/>
      <w:marLeft w:val="0"/>
      <w:marRight w:val="0"/>
      <w:marTop w:val="0"/>
      <w:marBottom w:val="0"/>
      <w:divBdr>
        <w:top w:val="none" w:sz="0" w:space="0" w:color="auto"/>
        <w:left w:val="none" w:sz="0" w:space="0" w:color="auto"/>
        <w:bottom w:val="none" w:sz="0" w:space="0" w:color="auto"/>
        <w:right w:val="none" w:sz="0" w:space="0" w:color="auto"/>
      </w:divBdr>
    </w:div>
    <w:div w:id="1120297877">
      <w:bodyDiv w:val="1"/>
      <w:marLeft w:val="0"/>
      <w:marRight w:val="0"/>
      <w:marTop w:val="0"/>
      <w:marBottom w:val="0"/>
      <w:divBdr>
        <w:top w:val="none" w:sz="0" w:space="0" w:color="auto"/>
        <w:left w:val="none" w:sz="0" w:space="0" w:color="auto"/>
        <w:bottom w:val="none" w:sz="0" w:space="0" w:color="auto"/>
        <w:right w:val="none" w:sz="0" w:space="0" w:color="auto"/>
      </w:divBdr>
    </w:div>
    <w:div w:id="1250968797">
      <w:bodyDiv w:val="1"/>
      <w:marLeft w:val="0"/>
      <w:marRight w:val="0"/>
      <w:marTop w:val="0"/>
      <w:marBottom w:val="0"/>
      <w:divBdr>
        <w:top w:val="none" w:sz="0" w:space="0" w:color="auto"/>
        <w:left w:val="none" w:sz="0" w:space="0" w:color="auto"/>
        <w:bottom w:val="none" w:sz="0" w:space="0" w:color="auto"/>
        <w:right w:val="none" w:sz="0" w:space="0" w:color="auto"/>
      </w:divBdr>
    </w:div>
    <w:div w:id="1298104141">
      <w:bodyDiv w:val="1"/>
      <w:marLeft w:val="0"/>
      <w:marRight w:val="0"/>
      <w:marTop w:val="0"/>
      <w:marBottom w:val="0"/>
      <w:divBdr>
        <w:top w:val="none" w:sz="0" w:space="0" w:color="auto"/>
        <w:left w:val="none" w:sz="0" w:space="0" w:color="auto"/>
        <w:bottom w:val="none" w:sz="0" w:space="0" w:color="auto"/>
        <w:right w:val="none" w:sz="0" w:space="0" w:color="auto"/>
      </w:divBdr>
    </w:div>
    <w:div w:id="1310524241">
      <w:bodyDiv w:val="1"/>
      <w:marLeft w:val="0"/>
      <w:marRight w:val="0"/>
      <w:marTop w:val="0"/>
      <w:marBottom w:val="0"/>
      <w:divBdr>
        <w:top w:val="none" w:sz="0" w:space="0" w:color="auto"/>
        <w:left w:val="none" w:sz="0" w:space="0" w:color="auto"/>
        <w:bottom w:val="none" w:sz="0" w:space="0" w:color="auto"/>
        <w:right w:val="none" w:sz="0" w:space="0" w:color="auto"/>
      </w:divBdr>
    </w:div>
    <w:div w:id="1412890950">
      <w:bodyDiv w:val="1"/>
      <w:marLeft w:val="0"/>
      <w:marRight w:val="0"/>
      <w:marTop w:val="0"/>
      <w:marBottom w:val="0"/>
      <w:divBdr>
        <w:top w:val="none" w:sz="0" w:space="0" w:color="auto"/>
        <w:left w:val="none" w:sz="0" w:space="0" w:color="auto"/>
        <w:bottom w:val="none" w:sz="0" w:space="0" w:color="auto"/>
        <w:right w:val="none" w:sz="0" w:space="0" w:color="auto"/>
      </w:divBdr>
    </w:div>
    <w:div w:id="1717581962">
      <w:bodyDiv w:val="1"/>
      <w:marLeft w:val="0"/>
      <w:marRight w:val="0"/>
      <w:marTop w:val="0"/>
      <w:marBottom w:val="0"/>
      <w:divBdr>
        <w:top w:val="none" w:sz="0" w:space="0" w:color="auto"/>
        <w:left w:val="none" w:sz="0" w:space="0" w:color="auto"/>
        <w:bottom w:val="none" w:sz="0" w:space="0" w:color="auto"/>
        <w:right w:val="none" w:sz="0" w:space="0" w:color="auto"/>
      </w:divBdr>
    </w:div>
    <w:div w:id="1817532722">
      <w:bodyDiv w:val="1"/>
      <w:marLeft w:val="0"/>
      <w:marRight w:val="0"/>
      <w:marTop w:val="0"/>
      <w:marBottom w:val="0"/>
      <w:divBdr>
        <w:top w:val="none" w:sz="0" w:space="0" w:color="auto"/>
        <w:left w:val="none" w:sz="0" w:space="0" w:color="auto"/>
        <w:bottom w:val="none" w:sz="0" w:space="0" w:color="auto"/>
        <w:right w:val="none" w:sz="0" w:space="0" w:color="auto"/>
      </w:divBdr>
    </w:div>
    <w:div w:id="1845123158">
      <w:bodyDiv w:val="1"/>
      <w:marLeft w:val="0"/>
      <w:marRight w:val="0"/>
      <w:marTop w:val="0"/>
      <w:marBottom w:val="0"/>
      <w:divBdr>
        <w:top w:val="none" w:sz="0" w:space="0" w:color="auto"/>
        <w:left w:val="none" w:sz="0" w:space="0" w:color="auto"/>
        <w:bottom w:val="none" w:sz="0" w:space="0" w:color="auto"/>
        <w:right w:val="none" w:sz="0" w:space="0" w:color="auto"/>
      </w:divBdr>
    </w:div>
    <w:div w:id="2007247733">
      <w:bodyDiv w:val="1"/>
      <w:marLeft w:val="0"/>
      <w:marRight w:val="0"/>
      <w:marTop w:val="0"/>
      <w:marBottom w:val="0"/>
      <w:divBdr>
        <w:top w:val="none" w:sz="0" w:space="0" w:color="auto"/>
        <w:left w:val="none" w:sz="0" w:space="0" w:color="auto"/>
        <w:bottom w:val="none" w:sz="0" w:space="0" w:color="auto"/>
        <w:right w:val="none" w:sz="0" w:space="0" w:color="auto"/>
      </w:divBdr>
    </w:div>
    <w:div w:id="2090535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training/ophthalmic-specialist-training/ost-curriculum/curriculum-2024/implementation-notes/" TargetMode="External"/><Relationship Id="rId13" Type="http://schemas.openxmlformats.org/officeDocument/2006/relationships/hyperlink" Target="https://www.rcophth.ac.uk/training/ophthalmic-specialist-training/ost-curriculum/curriculum-2024/"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s02web.zoom.us/rec/share/n_pqazazn19YKzHxksJ9gbFm5BWIrjj5XnJnW3uhxFCpfvtrDM44YJGt0npX7RGB.GfDkVN6iZydr5BmA"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ophth.ac.uk/training/ophthalmic-specialist-training/ost-curriculum/curriculum-2024/implementation-notes/"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rcophth.ac.uk/training/ophthalmic-specialist-training/ost-curriculum/curriculum-202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cophth.ac.uk/wp-content/uploads/2022/11/CESR-statement-post-GMC.pdf" TargetMode="External"/><Relationship Id="rId14" Type="http://schemas.openxmlformats.org/officeDocument/2006/relationships/hyperlink" Target="mailto:curriculum2024@rcophth.ac.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F2DD7-07E9-4763-9F50-9DC34C0C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4884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dc:creator>
  <cp:keywords/>
  <cp:lastModifiedBy>Vanna Fadda</cp:lastModifiedBy>
  <cp:revision>2</cp:revision>
  <cp:lastPrinted>2015-01-05T12:54:00Z</cp:lastPrinted>
  <dcterms:created xsi:type="dcterms:W3CDTF">2022-12-02T15:52:00Z</dcterms:created>
  <dcterms:modified xsi:type="dcterms:W3CDTF">2022-12-02T15:52:00Z</dcterms:modified>
</cp:coreProperties>
</file>