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2ED" w:rsidP="00623488" w:rsidRDefault="00FA52ED" w14:paraId="291D9520" w14:textId="42196248">
      <w:pPr>
        <w:pStyle w:val="Default"/>
        <w:spacing w:line="276" w:lineRule="auto"/>
        <w:rPr>
          <w:color w:val="auto"/>
        </w:rPr>
      </w:pPr>
    </w:p>
    <w:p w:rsidR="002930CB" w:rsidP="00623488" w:rsidRDefault="0018437E" w14:paraId="3D308C8A" w14:textId="48A9B6BD">
      <w:pPr>
        <w:spacing w:line="276" w:lineRule="auto"/>
        <w:rPr>
          <w:rFonts w:cs="Calibri"/>
        </w:rPr>
      </w:pPr>
      <w:r>
        <w:rPr>
          <w:rFonts w:cs="Calibri"/>
          <w:b/>
        </w:rPr>
        <w:t>ALL CURRICULUM TRANSITION CHECKLISTS</w:t>
      </w:r>
      <w:r w:rsidR="00C3253C">
        <w:rPr>
          <w:rFonts w:cs="Calibri"/>
          <w:b/>
        </w:rPr>
        <w:t xml:space="preserve"> </w:t>
      </w:r>
      <w:r w:rsidR="00BD55B7">
        <w:rPr>
          <w:rFonts w:cs="Calibri"/>
          <w:b/>
        </w:rPr>
        <w:t xml:space="preserve">– IMPLEMENTATION NOTE NO </w:t>
      </w:r>
      <w:r w:rsidR="00A7178D">
        <w:rPr>
          <w:rFonts w:cs="Calibri"/>
          <w:b/>
        </w:rPr>
        <w:t>9</w:t>
      </w:r>
    </w:p>
    <w:p w:rsidR="002930CB" w:rsidP="00623488" w:rsidRDefault="002930CB" w14:paraId="0A8C60FA" w14:textId="77777777">
      <w:pPr>
        <w:spacing w:line="276" w:lineRule="auto"/>
        <w:rPr>
          <w:rFonts w:cs="Calibri"/>
        </w:rPr>
      </w:pPr>
    </w:p>
    <w:p w:rsidR="00D71330" w:rsidP="00623488" w:rsidRDefault="00D71330" w14:paraId="1F814C1E" w14:textId="3D75DC82">
      <w:pPr>
        <w:spacing w:line="276" w:lineRule="auto"/>
        <w:rPr>
          <w:rFonts w:cs="Calibri"/>
          <w:b/>
        </w:rPr>
      </w:pPr>
      <w:r w:rsidRPr="008B042D">
        <w:rPr>
          <w:rFonts w:cs="Calibri"/>
          <w:b/>
        </w:rPr>
        <w:t>Purpose of this Note</w:t>
      </w:r>
    </w:p>
    <w:p w:rsidRPr="00BD55B7" w:rsidR="00BD55B7" w:rsidP="00BD55B7" w:rsidRDefault="00BD55B7" w14:paraId="01245E89" w14:textId="266C4C73">
      <w:pPr>
        <w:spacing w:line="276" w:lineRule="auto"/>
        <w:rPr>
          <w:rFonts w:cs="Calibri"/>
        </w:rPr>
      </w:pPr>
      <w:r w:rsidRPr="00BD55B7">
        <w:rPr>
          <w:rFonts w:cs="Calibri"/>
        </w:rPr>
        <w:t xml:space="preserve">This Implementation Note is intended to </w:t>
      </w:r>
      <w:r w:rsidR="0018605E">
        <w:rPr>
          <w:rFonts w:cs="Calibri"/>
        </w:rPr>
        <w:t>consolidate information about Curriculum Transition Checklists (CTCs) for</w:t>
      </w:r>
      <w:r w:rsidRPr="00BD55B7">
        <w:rPr>
          <w:rFonts w:cs="Calibri"/>
        </w:rPr>
        <w:t xml:space="preserve"> </w:t>
      </w:r>
      <w:r>
        <w:rPr>
          <w:rFonts w:cs="Calibri"/>
        </w:rPr>
        <w:t xml:space="preserve">trainee ophthalmologists, </w:t>
      </w:r>
      <w:r w:rsidRPr="00BD55B7">
        <w:rPr>
          <w:rFonts w:cs="Calibri"/>
        </w:rPr>
        <w:t>Heads of School and TPDs</w:t>
      </w:r>
      <w:r w:rsidR="00C3253C">
        <w:rPr>
          <w:rFonts w:cs="Calibri"/>
        </w:rPr>
        <w:t>. It has been approved by the</w:t>
      </w:r>
      <w:r w:rsidR="0018437E">
        <w:rPr>
          <w:rFonts w:cs="Calibri"/>
        </w:rPr>
        <w:t xml:space="preserve"> OST Project Board</w:t>
      </w:r>
      <w:r w:rsidR="00C3253C">
        <w:rPr>
          <w:rFonts w:cs="Calibri"/>
        </w:rPr>
        <w:t>.</w:t>
      </w:r>
    </w:p>
    <w:p w:rsidRPr="00BD55B7" w:rsidR="00BD55B7" w:rsidP="00BD55B7" w:rsidRDefault="00BD55B7" w14:paraId="643127E8" w14:textId="77777777">
      <w:pPr>
        <w:spacing w:line="276" w:lineRule="auto"/>
        <w:rPr>
          <w:rFonts w:cs="Calibri"/>
          <w:b/>
        </w:rPr>
      </w:pPr>
    </w:p>
    <w:p w:rsidR="00BD55B7" w:rsidP="00BD55B7" w:rsidRDefault="000278CB" w14:paraId="4CD4D256" w14:textId="40B1B1D7">
      <w:pPr>
        <w:spacing w:line="276" w:lineRule="auto"/>
        <w:rPr>
          <w:rFonts w:cs="Calibri"/>
          <w:b/>
        </w:rPr>
      </w:pPr>
      <w:r>
        <w:rPr>
          <w:rFonts w:cs="Calibri"/>
          <w:b/>
        </w:rPr>
        <w:t>Introduction</w:t>
      </w:r>
    </w:p>
    <w:p w:rsidR="000278CB" w:rsidP="000278CB" w:rsidRDefault="000278CB" w14:paraId="0D033023" w14:textId="40422AC7">
      <w:pPr>
        <w:spacing w:line="276" w:lineRule="auto"/>
        <w:rPr>
          <w:rFonts w:cs="Calibri"/>
        </w:rPr>
      </w:pPr>
      <w:r w:rsidRPr="000278CB">
        <w:rPr>
          <w:rFonts w:cs="Calibri"/>
        </w:rPr>
        <w:t xml:space="preserve">The main purpose of the CTC is to help </w:t>
      </w:r>
      <w:r>
        <w:rPr>
          <w:rFonts w:cs="Calibri"/>
        </w:rPr>
        <w:t xml:space="preserve">current </w:t>
      </w:r>
      <w:r w:rsidR="00A7178D">
        <w:rPr>
          <w:rFonts w:cs="Calibri"/>
        </w:rPr>
        <w:t xml:space="preserve">ST1-3 </w:t>
      </w:r>
      <w:r w:rsidRPr="000278CB">
        <w:rPr>
          <w:rFonts w:cs="Calibri"/>
        </w:rPr>
        <w:t>trainees prepare for the new curriculum, as they will be in the later stages of training when the new curriculum formally begins. The CTC should be viewed as a developmental tool, not as a formal assessment. It is very important that by the time trainees reach ST6 there are no significant gaps in training. The table below illustrates the progression expectations for these trainees. </w:t>
      </w:r>
    </w:p>
    <w:tbl>
      <w:tblPr>
        <w:tblStyle w:val="TableGrid"/>
        <w:tblW w:w="0" w:type="auto"/>
        <w:tblLook w:val="04A0" w:firstRow="1" w:lastRow="0" w:firstColumn="1" w:lastColumn="0" w:noHBand="0" w:noVBand="1"/>
      </w:tblPr>
      <w:tblGrid>
        <w:gridCol w:w="3005"/>
        <w:gridCol w:w="3005"/>
        <w:gridCol w:w="3006"/>
      </w:tblGrid>
      <w:tr w:rsidR="00A7178D" w:rsidTr="00A7178D" w14:paraId="691A4186" w14:textId="77777777">
        <w:tc>
          <w:tcPr>
            <w:tcW w:w="3005" w:type="dxa"/>
          </w:tcPr>
          <w:p w:rsidRPr="00A7178D" w:rsidR="00A7178D" w:rsidP="00A7178D" w:rsidRDefault="00A7178D" w14:paraId="06D087B0" w14:textId="1A5BF142">
            <w:pPr>
              <w:spacing w:line="276" w:lineRule="auto"/>
              <w:jc w:val="center"/>
              <w:rPr>
                <w:rFonts w:cs="Calibri"/>
                <w:b/>
                <w:bCs/>
              </w:rPr>
            </w:pPr>
            <w:r w:rsidRPr="00A7178D">
              <w:rPr>
                <w:rFonts w:cs="Calibri"/>
                <w:b/>
                <w:bCs/>
              </w:rPr>
              <w:t>ST Year in August 2024</w:t>
            </w:r>
          </w:p>
        </w:tc>
        <w:tc>
          <w:tcPr>
            <w:tcW w:w="3005" w:type="dxa"/>
          </w:tcPr>
          <w:p w:rsidRPr="00A7178D" w:rsidR="00A7178D" w:rsidP="00A7178D" w:rsidRDefault="00A7178D" w14:paraId="08F22709" w14:textId="7C770130">
            <w:pPr>
              <w:spacing w:line="276" w:lineRule="auto"/>
              <w:jc w:val="center"/>
              <w:rPr>
                <w:rFonts w:cs="Calibri"/>
                <w:b/>
                <w:bCs/>
              </w:rPr>
            </w:pPr>
            <w:r w:rsidRPr="00A7178D">
              <w:rPr>
                <w:rFonts w:cs="Calibri"/>
                <w:b/>
                <w:bCs/>
              </w:rPr>
              <w:t>Level of Training in August 2024</w:t>
            </w:r>
          </w:p>
        </w:tc>
        <w:tc>
          <w:tcPr>
            <w:tcW w:w="3006" w:type="dxa"/>
          </w:tcPr>
          <w:p w:rsidRPr="00A7178D" w:rsidR="00A7178D" w:rsidP="00A7178D" w:rsidRDefault="00A7178D" w14:paraId="4CD02B4F" w14:textId="5D09AD3A">
            <w:pPr>
              <w:spacing w:line="276" w:lineRule="auto"/>
              <w:jc w:val="center"/>
              <w:rPr>
                <w:rFonts w:cs="Calibri"/>
                <w:b/>
                <w:bCs/>
              </w:rPr>
            </w:pPr>
            <w:r w:rsidRPr="00A7178D">
              <w:rPr>
                <w:rFonts w:cs="Calibri"/>
                <w:b/>
                <w:bCs/>
              </w:rPr>
              <w:t>Change to new curriculum in August 2024</w:t>
            </w:r>
          </w:p>
        </w:tc>
      </w:tr>
      <w:tr w:rsidR="00A7178D" w:rsidTr="00A7178D" w14:paraId="5392725C" w14:textId="77777777">
        <w:tc>
          <w:tcPr>
            <w:tcW w:w="3005" w:type="dxa"/>
          </w:tcPr>
          <w:p w:rsidR="00A7178D" w:rsidP="00A7178D" w:rsidRDefault="00A7178D" w14:paraId="2F50AAFD" w14:textId="4800A2DD">
            <w:pPr>
              <w:spacing w:line="276" w:lineRule="auto"/>
              <w:jc w:val="center"/>
              <w:rPr>
                <w:rFonts w:cs="Calibri"/>
              </w:rPr>
            </w:pPr>
            <w:r>
              <w:rPr>
                <w:rFonts w:cs="Calibri"/>
              </w:rPr>
              <w:t>ST4</w:t>
            </w:r>
          </w:p>
        </w:tc>
        <w:tc>
          <w:tcPr>
            <w:tcW w:w="3005" w:type="dxa"/>
          </w:tcPr>
          <w:p w:rsidR="00A7178D" w:rsidP="00A7178D" w:rsidRDefault="00A7178D" w14:paraId="44BC88AC" w14:textId="1BDC1367">
            <w:pPr>
              <w:spacing w:line="276" w:lineRule="auto"/>
              <w:jc w:val="center"/>
              <w:rPr>
                <w:rFonts w:cs="Calibri"/>
              </w:rPr>
            </w:pPr>
            <w:r>
              <w:rPr>
                <w:rFonts w:cs="Calibri"/>
              </w:rPr>
              <w:t>Start of Level 3</w:t>
            </w:r>
          </w:p>
        </w:tc>
        <w:tc>
          <w:tcPr>
            <w:tcW w:w="3006" w:type="dxa"/>
          </w:tcPr>
          <w:p w:rsidR="00A7178D" w:rsidP="00A7178D" w:rsidRDefault="00A7178D" w14:paraId="0FD40362" w14:textId="40186117">
            <w:pPr>
              <w:spacing w:line="276" w:lineRule="auto"/>
              <w:jc w:val="center"/>
              <w:rPr>
                <w:rFonts w:cs="Calibri"/>
              </w:rPr>
            </w:pPr>
            <w:r>
              <w:rPr>
                <w:rFonts w:cs="Calibri"/>
              </w:rPr>
              <w:t>Yes</w:t>
            </w:r>
          </w:p>
        </w:tc>
      </w:tr>
      <w:tr w:rsidR="00A7178D" w:rsidTr="00A7178D" w14:paraId="4BD15E05" w14:textId="77777777">
        <w:tc>
          <w:tcPr>
            <w:tcW w:w="3005" w:type="dxa"/>
          </w:tcPr>
          <w:p w:rsidR="00A7178D" w:rsidP="00A7178D" w:rsidRDefault="00A7178D" w14:paraId="343A1042" w14:textId="29AB89B2">
            <w:pPr>
              <w:spacing w:line="276" w:lineRule="auto"/>
              <w:jc w:val="center"/>
              <w:rPr>
                <w:rFonts w:cs="Calibri"/>
              </w:rPr>
            </w:pPr>
            <w:r>
              <w:rPr>
                <w:rFonts w:cs="Calibri"/>
              </w:rPr>
              <w:t>ST5</w:t>
            </w:r>
          </w:p>
        </w:tc>
        <w:tc>
          <w:tcPr>
            <w:tcW w:w="3005" w:type="dxa"/>
          </w:tcPr>
          <w:p w:rsidR="00A7178D" w:rsidP="00A7178D" w:rsidRDefault="00A7178D" w14:paraId="328E8FD7" w14:textId="20971A52">
            <w:pPr>
              <w:spacing w:line="276" w:lineRule="auto"/>
              <w:jc w:val="center"/>
              <w:rPr>
                <w:rFonts w:cs="Calibri"/>
              </w:rPr>
            </w:pPr>
            <w:r>
              <w:rPr>
                <w:rFonts w:cs="Calibri"/>
              </w:rPr>
              <w:t>Level 3</w:t>
            </w:r>
          </w:p>
        </w:tc>
        <w:tc>
          <w:tcPr>
            <w:tcW w:w="3006" w:type="dxa"/>
          </w:tcPr>
          <w:p w:rsidR="00A7178D" w:rsidP="00A7178D" w:rsidRDefault="00A7178D" w14:paraId="2230F91C" w14:textId="7F8EA95C">
            <w:pPr>
              <w:spacing w:line="276" w:lineRule="auto"/>
              <w:jc w:val="center"/>
              <w:rPr>
                <w:rFonts w:cs="Calibri"/>
              </w:rPr>
            </w:pPr>
            <w:r>
              <w:rPr>
                <w:rFonts w:cs="Calibri"/>
              </w:rPr>
              <w:t>Yes</w:t>
            </w:r>
          </w:p>
        </w:tc>
      </w:tr>
      <w:tr w:rsidR="00A7178D" w:rsidTr="00A7178D" w14:paraId="23BDF5D4" w14:textId="77777777">
        <w:tc>
          <w:tcPr>
            <w:tcW w:w="3005" w:type="dxa"/>
          </w:tcPr>
          <w:p w:rsidR="00A7178D" w:rsidP="00A7178D" w:rsidRDefault="00A7178D" w14:paraId="3A10BE28" w14:textId="760F4D8A">
            <w:pPr>
              <w:spacing w:line="276" w:lineRule="auto"/>
              <w:jc w:val="center"/>
              <w:rPr>
                <w:rFonts w:cs="Calibri"/>
              </w:rPr>
            </w:pPr>
            <w:r>
              <w:rPr>
                <w:rFonts w:cs="Calibri"/>
              </w:rPr>
              <w:t>ST6</w:t>
            </w:r>
          </w:p>
        </w:tc>
        <w:tc>
          <w:tcPr>
            <w:tcW w:w="3005" w:type="dxa"/>
          </w:tcPr>
          <w:p w:rsidR="00A7178D" w:rsidP="00A7178D" w:rsidRDefault="00A7178D" w14:paraId="2F5BE44A" w14:textId="77550580">
            <w:pPr>
              <w:spacing w:line="276" w:lineRule="auto"/>
              <w:jc w:val="center"/>
              <w:rPr>
                <w:rFonts w:cs="Calibri"/>
              </w:rPr>
            </w:pPr>
            <w:r>
              <w:rPr>
                <w:rFonts w:cs="Calibri"/>
              </w:rPr>
              <w:t>Level 3 – 6 months left</w:t>
            </w:r>
          </w:p>
        </w:tc>
        <w:tc>
          <w:tcPr>
            <w:tcW w:w="3006" w:type="dxa"/>
          </w:tcPr>
          <w:p w:rsidR="00A7178D" w:rsidP="00A7178D" w:rsidRDefault="00A7178D" w14:paraId="7351C9F7" w14:textId="349184FA">
            <w:pPr>
              <w:spacing w:line="276" w:lineRule="auto"/>
              <w:jc w:val="center"/>
              <w:rPr>
                <w:rFonts w:cs="Calibri"/>
              </w:rPr>
            </w:pPr>
            <w:r>
              <w:rPr>
                <w:rFonts w:cs="Calibri"/>
              </w:rPr>
              <w:t>Optional</w:t>
            </w:r>
          </w:p>
        </w:tc>
      </w:tr>
      <w:tr w:rsidR="00A7178D" w:rsidTr="00A7178D" w14:paraId="273B3BBA" w14:textId="77777777">
        <w:tc>
          <w:tcPr>
            <w:tcW w:w="3005" w:type="dxa"/>
          </w:tcPr>
          <w:p w:rsidR="00A7178D" w:rsidP="00A7178D" w:rsidRDefault="00A7178D" w14:paraId="498C8B79" w14:textId="5AF7E92D">
            <w:pPr>
              <w:spacing w:line="276" w:lineRule="auto"/>
              <w:jc w:val="center"/>
              <w:rPr>
                <w:rFonts w:cs="Calibri"/>
              </w:rPr>
            </w:pPr>
            <w:r>
              <w:rPr>
                <w:rFonts w:cs="Calibri"/>
              </w:rPr>
              <w:t>ST7</w:t>
            </w:r>
          </w:p>
        </w:tc>
        <w:tc>
          <w:tcPr>
            <w:tcW w:w="3005" w:type="dxa"/>
          </w:tcPr>
          <w:p w:rsidR="00A7178D" w:rsidP="00A7178D" w:rsidRDefault="00A7178D" w14:paraId="2FCF8969" w14:textId="13C100D4">
            <w:pPr>
              <w:spacing w:line="276" w:lineRule="auto"/>
              <w:jc w:val="center"/>
              <w:rPr>
                <w:rFonts w:cs="Calibri"/>
              </w:rPr>
            </w:pPr>
            <w:r>
              <w:rPr>
                <w:rFonts w:cs="Calibri"/>
              </w:rPr>
              <w:t>x</w:t>
            </w:r>
          </w:p>
        </w:tc>
        <w:tc>
          <w:tcPr>
            <w:tcW w:w="3006" w:type="dxa"/>
          </w:tcPr>
          <w:p w:rsidR="00A7178D" w:rsidP="00A7178D" w:rsidRDefault="00A7178D" w14:paraId="47D73C90" w14:textId="21E59CE4">
            <w:pPr>
              <w:spacing w:line="276" w:lineRule="auto"/>
              <w:jc w:val="center"/>
              <w:rPr>
                <w:rFonts w:cs="Calibri"/>
              </w:rPr>
            </w:pPr>
            <w:r>
              <w:rPr>
                <w:rFonts w:cs="Calibri"/>
              </w:rPr>
              <w:t>No</w:t>
            </w:r>
          </w:p>
        </w:tc>
      </w:tr>
    </w:tbl>
    <w:p w:rsidR="000278CB" w:rsidP="00BD55B7" w:rsidRDefault="000278CB" w14:paraId="12A8DE8F" w14:textId="5815CD5C">
      <w:pPr>
        <w:spacing w:line="276" w:lineRule="auto"/>
        <w:rPr>
          <w:rFonts w:cs="Calibri"/>
          <w:b/>
        </w:rPr>
      </w:pPr>
      <w:r w:rsidRPr="000278CB">
        <w:rPr>
          <w:rFonts w:cs="Calibri"/>
          <w:b/>
        </w:rPr>
        <w:t> </w:t>
      </w:r>
    </w:p>
    <w:p w:rsidRPr="000278CB" w:rsidR="000278CB" w:rsidP="00BD55B7" w:rsidRDefault="000278CB" w14:paraId="440C7EE1" w14:textId="1DE24995">
      <w:pPr>
        <w:spacing w:line="276" w:lineRule="auto"/>
        <w:rPr>
          <w:rFonts w:cs="Calibri"/>
          <w:b/>
        </w:rPr>
      </w:pPr>
      <w:proofErr w:type="gramStart"/>
      <w:r>
        <w:rPr>
          <w:rFonts w:cs="Calibri"/>
          <w:bCs/>
        </w:rPr>
        <w:t>A number of</w:t>
      </w:r>
      <w:proofErr w:type="gramEnd"/>
      <w:r>
        <w:rPr>
          <w:rFonts w:cs="Calibri"/>
          <w:bCs/>
        </w:rPr>
        <w:t xml:space="preserve"> CTCs have been developed and published at different times over the past year. To make it easier for trainees and trainers to access them, the complete list is published here. Each link will take you to the relevant CTC.</w:t>
      </w:r>
    </w:p>
    <w:p w:rsidRPr="000278CB" w:rsidR="000278CB" w:rsidP="000278CB" w:rsidRDefault="0018605E" w14:paraId="7E6BFA71" w14:textId="06158093">
      <w:pPr>
        <w:pStyle w:val="ListParagraph"/>
        <w:numPr>
          <w:ilvl w:val="0"/>
          <w:numId w:val="20"/>
        </w:numPr>
        <w:spacing w:line="276" w:lineRule="auto"/>
        <w:rPr>
          <w:rFonts w:cs="Calibri"/>
          <w:bCs/>
        </w:rPr>
      </w:pPr>
      <w:hyperlink w:history="1" r:id="rId7">
        <w:r w:rsidRPr="0018605E" w:rsidR="000278CB">
          <w:rPr>
            <w:rStyle w:val="Hyperlink"/>
            <w:rFonts w:cs="Calibri"/>
            <w:bCs/>
          </w:rPr>
          <w:t>Level 1 – al</w:t>
        </w:r>
        <w:r w:rsidRPr="0018605E" w:rsidR="000278CB">
          <w:rPr>
            <w:rStyle w:val="Hyperlink"/>
            <w:rFonts w:cs="Calibri"/>
            <w:bCs/>
          </w:rPr>
          <w:t>l</w:t>
        </w:r>
        <w:r w:rsidRPr="0018605E" w:rsidR="000278CB">
          <w:rPr>
            <w:rStyle w:val="Hyperlink"/>
            <w:rFonts w:cs="Calibri"/>
            <w:bCs/>
          </w:rPr>
          <w:t xml:space="preserve"> domains</w:t>
        </w:r>
      </w:hyperlink>
    </w:p>
    <w:p w:rsidRPr="000278CB" w:rsidR="000278CB" w:rsidP="000278CB" w:rsidRDefault="0018605E" w14:paraId="5EB4251F" w14:textId="686093AC">
      <w:pPr>
        <w:pStyle w:val="ListParagraph"/>
        <w:numPr>
          <w:ilvl w:val="0"/>
          <w:numId w:val="20"/>
        </w:numPr>
        <w:spacing w:line="276" w:lineRule="auto"/>
        <w:rPr>
          <w:rFonts w:cs="Calibri"/>
          <w:bCs/>
        </w:rPr>
      </w:pPr>
      <w:hyperlink w:history="1" r:id="rId8">
        <w:r w:rsidRPr="0018605E" w:rsidR="000278CB">
          <w:rPr>
            <w:rStyle w:val="Hyperlink"/>
            <w:rFonts w:cs="Calibri"/>
            <w:bCs/>
          </w:rPr>
          <w:t xml:space="preserve">Level 2 </w:t>
        </w:r>
        <w:r w:rsidRPr="0018605E" w:rsidR="000278CB">
          <w:rPr>
            <w:rStyle w:val="Hyperlink"/>
            <w:rFonts w:cs="Calibri"/>
            <w:bCs/>
          </w:rPr>
          <w:t>–</w:t>
        </w:r>
        <w:r w:rsidRPr="0018605E" w:rsidR="000278CB">
          <w:rPr>
            <w:rStyle w:val="Hyperlink"/>
            <w:rFonts w:cs="Calibri"/>
            <w:bCs/>
          </w:rPr>
          <w:t xml:space="preserve"> all domains</w:t>
        </w:r>
      </w:hyperlink>
    </w:p>
    <w:p w:rsidRPr="000278CB" w:rsidR="000278CB" w:rsidP="000278CB" w:rsidRDefault="0018605E" w14:paraId="47185DBA" w14:textId="743F9920">
      <w:pPr>
        <w:pStyle w:val="ListParagraph"/>
        <w:numPr>
          <w:ilvl w:val="0"/>
          <w:numId w:val="20"/>
        </w:numPr>
        <w:spacing w:line="276" w:lineRule="auto"/>
        <w:rPr>
          <w:rFonts w:cs="Calibri"/>
          <w:bCs/>
        </w:rPr>
      </w:pPr>
      <w:hyperlink w:history="1" r:id="rId9">
        <w:r w:rsidRPr="0018605E" w:rsidR="000278CB">
          <w:rPr>
            <w:rStyle w:val="Hyperlink"/>
            <w:rFonts w:cs="Calibri"/>
            <w:bCs/>
          </w:rPr>
          <w:t>Generic Do</w:t>
        </w:r>
        <w:r w:rsidRPr="0018605E" w:rsidR="000278CB">
          <w:rPr>
            <w:rStyle w:val="Hyperlink"/>
            <w:rFonts w:cs="Calibri"/>
            <w:bCs/>
          </w:rPr>
          <w:t>m</w:t>
        </w:r>
        <w:r w:rsidRPr="0018605E" w:rsidR="000278CB">
          <w:rPr>
            <w:rStyle w:val="Hyperlink"/>
            <w:rFonts w:cs="Calibri"/>
            <w:bCs/>
          </w:rPr>
          <w:t>ains Level 1-4</w:t>
        </w:r>
      </w:hyperlink>
      <w:r w:rsidRPr="000278CB" w:rsidR="000278CB">
        <w:rPr>
          <w:rFonts w:cs="Calibri"/>
          <w:bCs/>
        </w:rPr>
        <w:t xml:space="preserve"> </w:t>
      </w:r>
    </w:p>
    <w:p w:rsidRPr="000278CB" w:rsidR="000278CB" w:rsidP="000278CB" w:rsidRDefault="0018605E" w14:paraId="4260FFFE" w14:textId="6A2B0F40">
      <w:pPr>
        <w:pStyle w:val="ListParagraph"/>
        <w:numPr>
          <w:ilvl w:val="0"/>
          <w:numId w:val="20"/>
        </w:numPr>
        <w:spacing w:line="276" w:lineRule="auto"/>
        <w:rPr>
          <w:rFonts w:cs="Calibri"/>
          <w:bCs/>
        </w:rPr>
      </w:pPr>
      <w:hyperlink w:history="1" r:id="rId10">
        <w:r w:rsidRPr="0018605E" w:rsidR="000278CB">
          <w:rPr>
            <w:rStyle w:val="Hyperlink"/>
            <w:rFonts w:cs="Calibri"/>
            <w:bCs/>
          </w:rPr>
          <w:t>Cataract Surgery Special Int</w:t>
        </w:r>
        <w:r w:rsidRPr="0018605E" w:rsidR="000278CB">
          <w:rPr>
            <w:rStyle w:val="Hyperlink"/>
            <w:rFonts w:cs="Calibri"/>
            <w:bCs/>
          </w:rPr>
          <w:t>e</w:t>
        </w:r>
        <w:r w:rsidRPr="0018605E" w:rsidR="000278CB">
          <w:rPr>
            <w:rStyle w:val="Hyperlink"/>
            <w:rFonts w:cs="Calibri"/>
            <w:bCs/>
          </w:rPr>
          <w:t>rest Area Level 1-4</w:t>
        </w:r>
      </w:hyperlink>
      <w:r w:rsidRPr="000278CB" w:rsidR="000278CB">
        <w:rPr>
          <w:rFonts w:cs="Calibri"/>
          <w:bCs/>
        </w:rPr>
        <w:t xml:space="preserve"> </w:t>
      </w:r>
    </w:p>
    <w:p w:rsidRPr="000278CB" w:rsidR="000278CB" w:rsidP="000278CB" w:rsidRDefault="0018605E" w14:paraId="1E498D1D" w14:textId="20155186">
      <w:pPr>
        <w:pStyle w:val="ListParagraph"/>
        <w:numPr>
          <w:ilvl w:val="0"/>
          <w:numId w:val="20"/>
        </w:numPr>
        <w:spacing w:line="276" w:lineRule="auto"/>
        <w:rPr>
          <w:rFonts w:cs="Calibri"/>
          <w:bCs/>
        </w:rPr>
      </w:pPr>
      <w:hyperlink w:history="1" r:id="rId11">
        <w:r w:rsidRPr="0018605E" w:rsidR="000278CB">
          <w:rPr>
            <w:rStyle w:val="Hyperlink"/>
            <w:rFonts w:cs="Calibri"/>
            <w:bCs/>
          </w:rPr>
          <w:t>Community Ophthalmology Special Interest Area Level 3</w:t>
        </w:r>
      </w:hyperlink>
      <w:r w:rsidRPr="000278CB" w:rsidR="000278CB">
        <w:rPr>
          <w:rFonts w:cs="Calibri"/>
          <w:bCs/>
        </w:rPr>
        <w:t xml:space="preserve"> </w:t>
      </w:r>
    </w:p>
    <w:p w:rsidRPr="000278CB" w:rsidR="000278CB" w:rsidP="000278CB" w:rsidRDefault="0018605E" w14:paraId="06B76336" w14:textId="6F64BF77">
      <w:pPr>
        <w:pStyle w:val="ListParagraph"/>
        <w:numPr>
          <w:ilvl w:val="0"/>
          <w:numId w:val="20"/>
        </w:numPr>
        <w:spacing w:line="276" w:lineRule="auto"/>
        <w:rPr>
          <w:rFonts w:cs="Calibri"/>
          <w:bCs/>
        </w:rPr>
      </w:pPr>
      <w:hyperlink w:history="1" r:id="rId12">
        <w:r w:rsidRPr="0018605E" w:rsidR="000278CB">
          <w:rPr>
            <w:rStyle w:val="Hyperlink"/>
            <w:rFonts w:cs="Calibri"/>
            <w:bCs/>
          </w:rPr>
          <w:t>Urgent Eye Care Special Interest Area Level 3</w:t>
        </w:r>
      </w:hyperlink>
      <w:r w:rsidRPr="000278CB" w:rsidR="000278CB">
        <w:rPr>
          <w:rFonts w:cs="Calibri"/>
          <w:bCs/>
        </w:rPr>
        <w:t xml:space="preserve"> </w:t>
      </w:r>
    </w:p>
    <w:p w:rsidRPr="000278CB" w:rsidR="000278CB" w:rsidP="000278CB" w:rsidRDefault="0018605E" w14:paraId="0D3AAAE5" w14:textId="6415874F">
      <w:pPr>
        <w:pStyle w:val="ListParagraph"/>
        <w:numPr>
          <w:ilvl w:val="0"/>
          <w:numId w:val="20"/>
        </w:numPr>
        <w:spacing w:line="276" w:lineRule="auto"/>
        <w:rPr>
          <w:rFonts w:cs="Calibri"/>
          <w:bCs/>
        </w:rPr>
      </w:pPr>
      <w:hyperlink w:history="1" r:id="rId13">
        <w:r w:rsidRPr="0018605E" w:rsidR="000278CB">
          <w:rPr>
            <w:rStyle w:val="Hyperlink"/>
            <w:bCs/>
          </w:rPr>
          <w:t>Curriculum Transition Schedule for the 12 SIAs at Level 3</w:t>
        </w:r>
      </w:hyperlink>
      <w:r w:rsidRPr="000278CB" w:rsidR="000278CB">
        <w:rPr>
          <w:bCs/>
        </w:rPr>
        <w:t xml:space="preserve"> </w:t>
      </w:r>
    </w:p>
    <w:p w:rsidR="000278CB" w:rsidP="000278CB" w:rsidRDefault="000278CB" w14:paraId="2AAB2320" w14:textId="77777777">
      <w:pPr>
        <w:spacing w:line="276" w:lineRule="auto"/>
        <w:rPr>
          <w:rFonts w:cs="Calibri"/>
          <w:b/>
          <w:bCs/>
        </w:rPr>
      </w:pPr>
    </w:p>
    <w:p w:rsidR="00A7178D" w:rsidP="000278CB" w:rsidRDefault="00A7178D" w14:paraId="1F7AE4D6" w14:textId="77777777">
      <w:pPr>
        <w:spacing w:line="276" w:lineRule="auto"/>
        <w:rPr>
          <w:rFonts w:cs="Calibri"/>
          <w:b/>
          <w:bCs/>
        </w:rPr>
      </w:pPr>
    </w:p>
    <w:p w:rsidR="000278CB" w:rsidP="000278CB" w:rsidRDefault="000278CB" w14:paraId="60EFC434" w14:textId="13148701">
      <w:pPr>
        <w:spacing w:line="276" w:lineRule="auto"/>
        <w:rPr>
          <w:rFonts w:cs="Calibri"/>
          <w:b/>
          <w:bCs/>
        </w:rPr>
      </w:pPr>
      <w:r>
        <w:rPr>
          <w:rFonts w:cs="Calibri"/>
          <w:b/>
          <w:bCs/>
        </w:rPr>
        <w:lastRenderedPageBreak/>
        <w:t>Links to relevant Implementation Notes</w:t>
      </w:r>
    </w:p>
    <w:p w:rsidR="000278CB" w:rsidP="000278CB" w:rsidRDefault="000278CB" w14:paraId="33EDB13C" w14:textId="0A7F8F49" w14:noSpellErr="1">
      <w:pPr>
        <w:pStyle w:val="ListParagraph"/>
        <w:numPr>
          <w:ilvl w:val="0"/>
          <w:numId w:val="21"/>
        </w:numPr>
        <w:spacing w:line="276" w:lineRule="auto"/>
        <w:rPr>
          <w:rFonts w:cs="Calibri"/>
        </w:rPr>
      </w:pPr>
      <w:hyperlink r:id="Rcb74ac88dca142e9">
        <w:r w:rsidRPr="31ACB51F" w:rsidR="31ACB51F">
          <w:rPr>
            <w:rStyle w:val="Hyperlink"/>
            <w:rFonts w:cs="Calibri"/>
          </w:rPr>
          <w:t>Implementation Note 1 – Curriculum Transition Checklists</w:t>
        </w:r>
      </w:hyperlink>
    </w:p>
    <w:p w:rsidR="000278CB" w:rsidP="000278CB" w:rsidRDefault="0018605E" w14:paraId="0A4DACB3" w14:textId="00F822F3" w14:noSpellErr="1">
      <w:pPr>
        <w:pStyle w:val="ListParagraph"/>
        <w:numPr>
          <w:ilvl w:val="0"/>
          <w:numId w:val="21"/>
        </w:numPr>
        <w:spacing w:line="276" w:lineRule="auto"/>
        <w:rPr>
          <w:rFonts w:cs="Calibri"/>
        </w:rPr>
      </w:pPr>
      <w:hyperlink r:id="Rffdc842afc494005">
        <w:r w:rsidRPr="31ACB51F" w:rsidR="31ACB51F">
          <w:rPr>
            <w:rStyle w:val="Hyperlink"/>
            <w:rFonts w:cs="Calibri"/>
          </w:rPr>
          <w:t>Implementation Note 3 - Transition Progression Requirements</w:t>
        </w:r>
      </w:hyperlink>
    </w:p>
    <w:p w:rsidR="0018605E" w:rsidP="000278CB" w:rsidRDefault="0018605E" w14:paraId="185B975E" w14:textId="0B4A92E8" w14:noSpellErr="1">
      <w:pPr>
        <w:pStyle w:val="ListParagraph"/>
        <w:numPr>
          <w:ilvl w:val="0"/>
          <w:numId w:val="21"/>
        </w:numPr>
        <w:spacing w:line="276" w:lineRule="auto"/>
        <w:rPr>
          <w:rFonts w:cs="Calibri"/>
        </w:rPr>
      </w:pPr>
      <w:hyperlink r:id="R0c802c2973a14cb8">
        <w:r w:rsidRPr="31ACB51F" w:rsidR="31ACB51F">
          <w:rPr>
            <w:rStyle w:val="Hyperlink"/>
            <w:rFonts w:cs="Calibri"/>
          </w:rPr>
          <w:t>Implementation Note 4 – CTCs for Level 3 Community Ophthalmology &amp; Urgent Eye Care</w:t>
        </w:r>
      </w:hyperlink>
      <w:r w:rsidRPr="31ACB51F" w:rsidR="31ACB51F">
        <w:rPr>
          <w:rFonts w:cs="Calibri"/>
        </w:rPr>
        <w:t xml:space="preserve"> </w:t>
      </w:r>
    </w:p>
    <w:p w:rsidRPr="000278CB" w:rsidR="0018605E" w:rsidP="000278CB" w:rsidRDefault="0018605E" w14:paraId="63B5DB20" w14:textId="1F2A5A88" w14:noSpellErr="1">
      <w:pPr>
        <w:pStyle w:val="ListParagraph"/>
        <w:numPr>
          <w:ilvl w:val="0"/>
          <w:numId w:val="21"/>
        </w:numPr>
        <w:spacing w:line="276" w:lineRule="auto"/>
        <w:rPr>
          <w:rFonts w:cs="Calibri"/>
        </w:rPr>
      </w:pPr>
      <w:hyperlink r:id="Ra4bf649e3f394138">
        <w:r w:rsidRPr="31ACB51F" w:rsidR="31ACB51F">
          <w:rPr>
            <w:rStyle w:val="Hyperlink"/>
            <w:rFonts w:cs="Calibri"/>
          </w:rPr>
          <w:t>Implementation Note 7 – Level 3 Sign-</w:t>
        </w:r>
        <w:r w:rsidRPr="31ACB51F" w:rsidR="31ACB51F">
          <w:rPr>
            <w:rStyle w:val="Hyperlink"/>
            <w:rFonts w:cs="Calibri"/>
          </w:rPr>
          <w:t>off</w:t>
        </w:r>
      </w:hyperlink>
    </w:p>
    <w:p w:rsidR="00BD55B7" w:rsidP="00D85A91" w:rsidRDefault="00BD55B7" w14:paraId="1179EF92" w14:textId="77777777">
      <w:pPr>
        <w:spacing w:line="276" w:lineRule="auto"/>
        <w:rPr>
          <w:rFonts w:cs="Calibri"/>
        </w:rPr>
      </w:pPr>
    </w:p>
    <w:p w:rsidR="00BD55B7" w:rsidP="00D85A91" w:rsidRDefault="00BD55B7" w14:paraId="2ABDA343" w14:textId="77777777">
      <w:pPr>
        <w:spacing w:line="276" w:lineRule="auto"/>
        <w:rPr>
          <w:rFonts w:cs="Calibri"/>
        </w:rPr>
      </w:pPr>
    </w:p>
    <w:p w:rsidR="00BD55B7" w:rsidP="00D85A91" w:rsidRDefault="00BD55B7" w14:paraId="014B357F" w14:textId="77777777">
      <w:pPr>
        <w:spacing w:line="276" w:lineRule="auto"/>
        <w:rPr>
          <w:rFonts w:cs="Calibri"/>
        </w:rPr>
      </w:pPr>
    </w:p>
    <w:p w:rsidR="00BD55B7" w:rsidP="00D85A91" w:rsidRDefault="00BD55B7" w14:paraId="40502812" w14:textId="77777777">
      <w:pPr>
        <w:spacing w:line="276" w:lineRule="auto"/>
        <w:rPr>
          <w:rFonts w:cs="Calibri"/>
        </w:rPr>
      </w:pPr>
    </w:p>
    <w:sectPr w:rsidR="00BD55B7" w:rsidSect="00B12D7B">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FDE" w:rsidP="00CD3E92" w:rsidRDefault="00CD0FDE" w14:paraId="3D01B5EC" w14:textId="77777777">
      <w:pPr>
        <w:spacing w:after="0" w:line="240" w:lineRule="auto"/>
      </w:pPr>
      <w:r>
        <w:separator/>
      </w:r>
    </w:p>
  </w:endnote>
  <w:endnote w:type="continuationSeparator" w:id="0">
    <w:p w:rsidR="00CD0FDE" w:rsidP="00CD3E92" w:rsidRDefault="00CD0FDE" w14:paraId="5924C1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6E5" w:rsidRDefault="00C006E5" w14:paraId="0639CF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39775"/>
      <w:docPartObj>
        <w:docPartGallery w:val="Page Numbers (Bottom of Page)"/>
        <w:docPartUnique/>
      </w:docPartObj>
    </w:sdtPr>
    <w:sdtEndPr>
      <w:rPr>
        <w:noProof/>
      </w:rPr>
    </w:sdtEndPr>
    <w:sdtContent>
      <w:p w:rsidR="00C006E5" w:rsidRDefault="00C006E5" w14:paraId="7F13F8FB" w14:textId="096AA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06E5" w:rsidRDefault="00C006E5" w14:paraId="475DA24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6E5" w:rsidRDefault="00C006E5" w14:paraId="0AE857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FDE" w:rsidP="00CD3E92" w:rsidRDefault="00CD0FDE" w14:paraId="7B1FC66E" w14:textId="77777777">
      <w:pPr>
        <w:spacing w:after="0" w:line="240" w:lineRule="auto"/>
      </w:pPr>
      <w:r>
        <w:separator/>
      </w:r>
    </w:p>
  </w:footnote>
  <w:footnote w:type="continuationSeparator" w:id="0">
    <w:p w:rsidR="00CD0FDE" w:rsidP="00CD3E92" w:rsidRDefault="00CD0FDE" w14:paraId="30BBFA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6E5" w:rsidRDefault="00C006E5" w14:paraId="08941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6E5" w:rsidP="00CD3E92" w:rsidRDefault="00C006E5" w14:paraId="0750EF8C" w14:textId="2C5AA86A">
    <w:pPr>
      <w:pStyle w:val="Header"/>
      <w:ind w:left="-709"/>
    </w:pPr>
  </w:p>
  <w:p w:rsidR="00C006E5" w:rsidP="00CD3E92" w:rsidRDefault="00C006E5" w14:paraId="22AD4687" w14:textId="2522EF5C">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06E5" w:rsidP="00B12D7B" w:rsidRDefault="00C006E5" w14:paraId="7A8B9CD0" w14:textId="55D1C74F">
    <w:pPr>
      <w:pStyle w:val="Header"/>
      <w:ind w:left="-993"/>
    </w:pPr>
    <w:r>
      <w:rPr>
        <w:noProof/>
      </w:rPr>
      <w:drawing>
        <wp:inline distT="0" distB="0" distL="0" distR="0" wp14:anchorId="50DF250E" wp14:editId="1B9D7769">
          <wp:extent cx="11484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828000"/>
                  </a:xfrm>
                  <a:prstGeom prst="rect">
                    <a:avLst/>
                  </a:prstGeom>
                  <a:noFill/>
                  <a:ln>
                    <a:noFill/>
                  </a:ln>
                </pic:spPr>
              </pic:pic>
            </a:graphicData>
          </a:graphic>
        </wp:inline>
      </w:drawing>
    </w:r>
  </w:p>
  <w:p w:rsidRPr="00B12D7B" w:rsidR="00C006E5" w:rsidP="00B12D7B" w:rsidRDefault="00C006E5" w14:paraId="6BD7F5D7" w14:textId="75346AEF">
    <w:pPr>
      <w:pStyle w:val="Header"/>
      <w:ind w:left="-993"/>
      <w:rPr>
        <w:b/>
        <w:i/>
        <w:sz w:val="20"/>
        <w:szCs w:val="20"/>
      </w:rPr>
    </w:pPr>
    <w:r w:rsidRPr="00B12D7B">
      <w:rPr>
        <w:b/>
        <w:i/>
        <w:sz w:val="20"/>
        <w:szCs w:val="20"/>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1" w15:restartNumberingAfterBreak="0">
    <w:nsid w:val="02691A77"/>
    <w:multiLevelType w:val="hybridMultilevel"/>
    <w:tmpl w:val="F0B4C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0A5281"/>
    <w:multiLevelType w:val="hybridMultilevel"/>
    <w:tmpl w:val="DE96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81034"/>
    <w:multiLevelType w:val="hybridMultilevel"/>
    <w:tmpl w:val="B17A1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D69"/>
    <w:multiLevelType w:val="hybridMultilevel"/>
    <w:tmpl w:val="11067F0C"/>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5">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5" w15:restartNumberingAfterBreak="0">
    <w:nsid w:val="3A9F1680"/>
    <w:multiLevelType w:val="hybridMultilevel"/>
    <w:tmpl w:val="55E0D0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ABF60A3"/>
    <w:multiLevelType w:val="hybridMultilevel"/>
    <w:tmpl w:val="257C85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AC968A7"/>
    <w:multiLevelType w:val="hybridMultilevel"/>
    <w:tmpl w:val="6ADCD4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6233A"/>
    <w:multiLevelType w:val="hybridMultilevel"/>
    <w:tmpl w:val="ADF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4D06E6"/>
    <w:multiLevelType w:val="hybridMultilevel"/>
    <w:tmpl w:val="F1B2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C3819"/>
    <w:multiLevelType w:val="hybridMultilevel"/>
    <w:tmpl w:val="2722B1C2"/>
    <w:lvl w:ilvl="0" w:tplc="EB04B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0D2E51"/>
    <w:multiLevelType w:val="hybridMultilevel"/>
    <w:tmpl w:val="139ED562"/>
    <w:lvl w:ilvl="0" w:tplc="910A8EE2">
      <w:start w:val="1"/>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F6F23A6"/>
    <w:multiLevelType w:val="hybridMultilevel"/>
    <w:tmpl w:val="AB3A6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22052F8"/>
    <w:multiLevelType w:val="hybridMultilevel"/>
    <w:tmpl w:val="C26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42E7F"/>
    <w:multiLevelType w:val="hybridMultilevel"/>
    <w:tmpl w:val="DE145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4A10ED"/>
    <w:multiLevelType w:val="hybridMultilevel"/>
    <w:tmpl w:val="0E068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181035"/>
    <w:multiLevelType w:val="hybridMultilevel"/>
    <w:tmpl w:val="D750D9B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7" w15:restartNumberingAfterBreak="0">
    <w:nsid w:val="680D7DF6"/>
    <w:multiLevelType w:val="hybridMultilevel"/>
    <w:tmpl w:val="326A7C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DB9292C"/>
    <w:multiLevelType w:val="hybridMultilevel"/>
    <w:tmpl w:val="7528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3D366D"/>
    <w:multiLevelType w:val="hybridMultilevel"/>
    <w:tmpl w:val="4236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77947302">
    <w:abstractNumId w:val="18"/>
  </w:num>
  <w:num w:numId="2" w16cid:durableId="2085949112">
    <w:abstractNumId w:val="5"/>
  </w:num>
  <w:num w:numId="3" w16cid:durableId="244077158">
    <w:abstractNumId w:val="9"/>
  </w:num>
  <w:num w:numId="4" w16cid:durableId="722483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2477924">
    <w:abstractNumId w:val="0"/>
  </w:num>
  <w:num w:numId="6" w16cid:durableId="484930740">
    <w:abstractNumId w:val="17"/>
  </w:num>
  <w:num w:numId="7" w16cid:durableId="1007055986">
    <w:abstractNumId w:val="6"/>
  </w:num>
  <w:num w:numId="8" w16cid:durableId="1576235790">
    <w:abstractNumId w:val="16"/>
  </w:num>
  <w:num w:numId="9" w16cid:durableId="1979801074">
    <w:abstractNumId w:val="3"/>
  </w:num>
  <w:num w:numId="10" w16cid:durableId="1008949190">
    <w:abstractNumId w:val="4"/>
  </w:num>
  <w:num w:numId="11" w16cid:durableId="874854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160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3810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148331">
    <w:abstractNumId w:val="13"/>
  </w:num>
  <w:num w:numId="15" w16cid:durableId="522941997">
    <w:abstractNumId w:val="7"/>
  </w:num>
  <w:num w:numId="16" w16cid:durableId="1531525019">
    <w:abstractNumId w:val="10"/>
  </w:num>
  <w:num w:numId="17" w16cid:durableId="1890415915">
    <w:abstractNumId w:val="11"/>
  </w:num>
  <w:num w:numId="18" w16cid:durableId="480272423">
    <w:abstractNumId w:val="1"/>
  </w:num>
  <w:num w:numId="19" w16cid:durableId="407267493">
    <w:abstractNumId w:val="14"/>
  </w:num>
  <w:num w:numId="20" w16cid:durableId="1278951240">
    <w:abstractNumId w:val="15"/>
  </w:num>
  <w:num w:numId="21" w16cid:durableId="116876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6"/>
    <w:rsid w:val="0002091D"/>
    <w:rsid w:val="000278CB"/>
    <w:rsid w:val="0003701D"/>
    <w:rsid w:val="000B03BD"/>
    <w:rsid w:val="00103EDF"/>
    <w:rsid w:val="00160D15"/>
    <w:rsid w:val="00184227"/>
    <w:rsid w:val="0018437E"/>
    <w:rsid w:val="0018605E"/>
    <w:rsid w:val="001E76D3"/>
    <w:rsid w:val="00224305"/>
    <w:rsid w:val="002353AB"/>
    <w:rsid w:val="00235A64"/>
    <w:rsid w:val="002930CB"/>
    <w:rsid w:val="00293A30"/>
    <w:rsid w:val="002B395C"/>
    <w:rsid w:val="002E643B"/>
    <w:rsid w:val="00332327"/>
    <w:rsid w:val="00422B1B"/>
    <w:rsid w:val="0044292A"/>
    <w:rsid w:val="004530F9"/>
    <w:rsid w:val="00505169"/>
    <w:rsid w:val="00590E82"/>
    <w:rsid w:val="00623488"/>
    <w:rsid w:val="0062784C"/>
    <w:rsid w:val="006F120E"/>
    <w:rsid w:val="00720AE2"/>
    <w:rsid w:val="00752A9D"/>
    <w:rsid w:val="0078378B"/>
    <w:rsid w:val="007A2172"/>
    <w:rsid w:val="00857DE6"/>
    <w:rsid w:val="00971F1D"/>
    <w:rsid w:val="00980DE6"/>
    <w:rsid w:val="00A7178D"/>
    <w:rsid w:val="00A909D4"/>
    <w:rsid w:val="00AC3AF7"/>
    <w:rsid w:val="00B05201"/>
    <w:rsid w:val="00B12D7B"/>
    <w:rsid w:val="00B51ED2"/>
    <w:rsid w:val="00B6669B"/>
    <w:rsid w:val="00BD55B7"/>
    <w:rsid w:val="00BE0FCE"/>
    <w:rsid w:val="00C006E5"/>
    <w:rsid w:val="00C3253C"/>
    <w:rsid w:val="00CD0FDE"/>
    <w:rsid w:val="00CD3E92"/>
    <w:rsid w:val="00CE6E59"/>
    <w:rsid w:val="00CF0D00"/>
    <w:rsid w:val="00D71330"/>
    <w:rsid w:val="00D85A91"/>
    <w:rsid w:val="00D875A1"/>
    <w:rsid w:val="00D94272"/>
    <w:rsid w:val="00EC4578"/>
    <w:rsid w:val="00FA52ED"/>
    <w:rsid w:val="31ACB51F"/>
    <w:rsid w:val="45EE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7F862"/>
  <w15:chartTrackingRefBased/>
  <w15:docId w15:val="{F01A3E11-7884-4B06-AFB6-EEB4CE9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3E92"/>
    <w:pPr>
      <w:spacing w:after="140" w:line="280" w:lineRule="atLeast"/>
    </w:pPr>
    <w:rPr>
      <w:rFonts w:cs="Times New Roman" w:eastAsiaTheme="minorEastAsia"/>
      <w:sz w:val="24"/>
      <w:szCs w:val="24"/>
    </w:rPr>
  </w:style>
  <w:style w:type="paragraph" w:styleId="Heading1">
    <w:name w:val="heading 1"/>
    <w:basedOn w:val="Normal"/>
    <w:next w:val="Normal"/>
    <w:link w:val="Heading1Char"/>
    <w:uiPriority w:val="9"/>
    <w:qFormat/>
    <w:rsid w:val="00B12D7B"/>
    <w:pPr>
      <w:keepNext/>
      <w:keepLines/>
      <w:pBdr>
        <w:bottom w:val="dotted" w:color="A5A5A5" w:themeColor="accent3" w:sz="18" w:space="6"/>
      </w:pBdr>
      <w:tabs>
        <w:tab w:val="left" w:pos="567"/>
      </w:tabs>
      <w:spacing w:before="480" w:after="240"/>
      <w:ind w:left="567" w:hanging="567"/>
      <w:outlineLvl w:val="0"/>
    </w:pPr>
    <w:rPr>
      <w:rFonts w:asciiTheme="majorHAnsi" w:hAnsiTheme="majorHAnsi" w:eastAsiaTheme="majorEastAsia" w:cstheme="majorBidi"/>
      <w:b/>
      <w:bCs/>
      <w:color w:val="44546A" w:themeColor="text2"/>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A52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E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3E92"/>
  </w:style>
  <w:style w:type="paragraph" w:styleId="Footer">
    <w:name w:val="footer"/>
    <w:basedOn w:val="Normal"/>
    <w:link w:val="FooterChar"/>
    <w:uiPriority w:val="99"/>
    <w:unhideWhenUsed/>
    <w:rsid w:val="00CD3E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3E92"/>
  </w:style>
  <w:style w:type="paragraph" w:styleId="ListParagraph">
    <w:name w:val="List Paragraph"/>
    <w:basedOn w:val="Normal"/>
    <w:uiPriority w:val="34"/>
    <w:qFormat/>
    <w:rsid w:val="00CD3E92"/>
    <w:pPr>
      <w:ind w:left="720"/>
      <w:contextualSpacing/>
    </w:pPr>
  </w:style>
  <w:style w:type="character" w:styleId="Hyperlink">
    <w:name w:val="Hyperlink"/>
    <w:basedOn w:val="DefaultParagraphFont"/>
    <w:uiPriority w:val="99"/>
    <w:unhideWhenUsed/>
    <w:rsid w:val="00224305"/>
    <w:rPr>
      <w:color w:val="0563C1" w:themeColor="hyperlink"/>
      <w:u w:val="single"/>
    </w:rPr>
  </w:style>
  <w:style w:type="character" w:styleId="UnresolvedMention">
    <w:name w:val="Unresolved Mention"/>
    <w:basedOn w:val="DefaultParagraphFont"/>
    <w:uiPriority w:val="99"/>
    <w:semiHidden/>
    <w:unhideWhenUsed/>
    <w:rsid w:val="00224305"/>
    <w:rPr>
      <w:color w:val="605E5C"/>
      <w:shd w:val="clear" w:color="auto" w:fill="E1DFDD"/>
    </w:rPr>
  </w:style>
  <w:style w:type="character" w:styleId="Heading1Char" w:customStyle="1">
    <w:name w:val="Heading 1 Char"/>
    <w:basedOn w:val="DefaultParagraphFont"/>
    <w:link w:val="Heading1"/>
    <w:uiPriority w:val="9"/>
    <w:rsid w:val="00B12D7B"/>
    <w:rPr>
      <w:rFonts w:asciiTheme="majorHAnsi" w:hAnsiTheme="majorHAnsi" w:eastAsiaTheme="majorEastAsia" w:cstheme="majorBidi"/>
      <w:b/>
      <w:bCs/>
      <w:color w:val="44546A" w:themeColor="text2"/>
      <w:sz w:val="32"/>
      <w:szCs w:val="32"/>
    </w:rPr>
  </w:style>
  <w:style w:type="table" w:styleId="TableGrid">
    <w:name w:val="Table Grid"/>
    <w:basedOn w:val="TableNormal"/>
    <w:uiPriority w:val="39"/>
    <w:rsid w:val="00453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B03BD"/>
    <w:rPr>
      <w:sz w:val="16"/>
      <w:szCs w:val="16"/>
    </w:rPr>
  </w:style>
  <w:style w:type="paragraph" w:styleId="CommentText">
    <w:name w:val="annotation text"/>
    <w:basedOn w:val="Normal"/>
    <w:link w:val="CommentTextChar"/>
    <w:uiPriority w:val="99"/>
    <w:semiHidden/>
    <w:unhideWhenUsed/>
    <w:rsid w:val="000B03BD"/>
    <w:pPr>
      <w:spacing w:line="240" w:lineRule="auto"/>
    </w:pPr>
    <w:rPr>
      <w:sz w:val="20"/>
      <w:szCs w:val="20"/>
    </w:rPr>
  </w:style>
  <w:style w:type="character" w:styleId="CommentTextChar" w:customStyle="1">
    <w:name w:val="Comment Text Char"/>
    <w:basedOn w:val="DefaultParagraphFont"/>
    <w:link w:val="CommentText"/>
    <w:uiPriority w:val="99"/>
    <w:semiHidden/>
    <w:rsid w:val="000B03BD"/>
    <w:rPr>
      <w:rFonts w:cs="Times New Roman" w:eastAsiaTheme="minorEastAsia"/>
      <w:sz w:val="20"/>
      <w:szCs w:val="20"/>
    </w:rPr>
  </w:style>
  <w:style w:type="paragraph" w:styleId="CommentSubject">
    <w:name w:val="annotation subject"/>
    <w:basedOn w:val="CommentText"/>
    <w:next w:val="CommentText"/>
    <w:link w:val="CommentSubjectChar"/>
    <w:uiPriority w:val="99"/>
    <w:semiHidden/>
    <w:unhideWhenUsed/>
    <w:rsid w:val="000B03BD"/>
    <w:rPr>
      <w:b/>
      <w:bCs/>
    </w:rPr>
  </w:style>
  <w:style w:type="character" w:styleId="CommentSubjectChar" w:customStyle="1">
    <w:name w:val="Comment Subject Char"/>
    <w:basedOn w:val="CommentTextChar"/>
    <w:link w:val="CommentSubject"/>
    <w:uiPriority w:val="99"/>
    <w:semiHidden/>
    <w:rsid w:val="000B03BD"/>
    <w:rPr>
      <w:rFonts w:cs="Times New Roman" w:eastAsiaTheme="minorEastAsia"/>
      <w:b/>
      <w:bCs/>
      <w:sz w:val="20"/>
      <w:szCs w:val="20"/>
    </w:rPr>
  </w:style>
  <w:style w:type="paragraph" w:styleId="BalloonText">
    <w:name w:val="Balloon Text"/>
    <w:basedOn w:val="Normal"/>
    <w:link w:val="BalloonTextChar"/>
    <w:uiPriority w:val="99"/>
    <w:semiHidden/>
    <w:unhideWhenUsed/>
    <w:rsid w:val="000B0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03BD"/>
    <w:rPr>
      <w:rFonts w:ascii="Segoe UI" w:hAnsi="Segoe UI" w:cs="Segoe UI" w:eastAsiaTheme="minorEastAsia"/>
      <w:sz w:val="18"/>
      <w:szCs w:val="18"/>
    </w:rPr>
  </w:style>
  <w:style w:type="character" w:styleId="FollowedHyperlink">
    <w:name w:val="FollowedHyperlink"/>
    <w:basedOn w:val="DefaultParagraphFont"/>
    <w:uiPriority w:val="99"/>
    <w:semiHidden/>
    <w:unhideWhenUsed/>
    <w:rsid w:val="002B395C"/>
    <w:rPr>
      <w:color w:val="954F72" w:themeColor="followedHyperlink"/>
      <w:u w:val="single"/>
    </w:rPr>
  </w:style>
  <w:style w:type="table" w:styleId="TableGridLight">
    <w:name w:val="Grid Table Light"/>
    <w:basedOn w:val="TableNormal"/>
    <w:uiPriority w:val="40"/>
    <w:rsid w:val="00A7178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9653">
      <w:bodyDiv w:val="1"/>
      <w:marLeft w:val="0"/>
      <w:marRight w:val="0"/>
      <w:marTop w:val="0"/>
      <w:marBottom w:val="0"/>
      <w:divBdr>
        <w:top w:val="none" w:sz="0" w:space="0" w:color="auto"/>
        <w:left w:val="none" w:sz="0" w:space="0" w:color="auto"/>
        <w:bottom w:val="none" w:sz="0" w:space="0" w:color="auto"/>
        <w:right w:val="none" w:sz="0" w:space="0" w:color="auto"/>
      </w:divBdr>
    </w:div>
    <w:div w:id="1188640738">
      <w:bodyDiv w:val="1"/>
      <w:marLeft w:val="0"/>
      <w:marRight w:val="0"/>
      <w:marTop w:val="0"/>
      <w:marBottom w:val="0"/>
      <w:divBdr>
        <w:top w:val="none" w:sz="0" w:space="0" w:color="auto"/>
        <w:left w:val="none" w:sz="0" w:space="0" w:color="auto"/>
        <w:bottom w:val="none" w:sz="0" w:space="0" w:color="auto"/>
        <w:right w:val="none" w:sz="0" w:space="0" w:color="auto"/>
      </w:divBdr>
    </w:div>
    <w:div w:id="1349990565">
      <w:bodyDiv w:val="1"/>
      <w:marLeft w:val="0"/>
      <w:marRight w:val="0"/>
      <w:marTop w:val="0"/>
      <w:marBottom w:val="0"/>
      <w:divBdr>
        <w:top w:val="none" w:sz="0" w:space="0" w:color="auto"/>
        <w:left w:val="none" w:sz="0" w:space="0" w:color="auto"/>
        <w:bottom w:val="none" w:sz="0" w:space="0" w:color="auto"/>
        <w:right w:val="none" w:sz="0" w:space="0" w:color="auto"/>
      </w:divBdr>
    </w:div>
    <w:div w:id="1370687168">
      <w:bodyDiv w:val="1"/>
      <w:marLeft w:val="0"/>
      <w:marRight w:val="0"/>
      <w:marTop w:val="0"/>
      <w:marBottom w:val="0"/>
      <w:divBdr>
        <w:top w:val="none" w:sz="0" w:space="0" w:color="auto"/>
        <w:left w:val="none" w:sz="0" w:space="0" w:color="auto"/>
        <w:bottom w:val="none" w:sz="0" w:space="0" w:color="auto"/>
        <w:right w:val="none" w:sz="0" w:space="0" w:color="auto"/>
      </w:divBdr>
    </w:div>
    <w:div w:id="1796556782">
      <w:bodyDiv w:val="1"/>
      <w:marLeft w:val="0"/>
      <w:marRight w:val="0"/>
      <w:marTop w:val="0"/>
      <w:marBottom w:val="0"/>
      <w:divBdr>
        <w:top w:val="none" w:sz="0" w:space="0" w:color="auto"/>
        <w:left w:val="none" w:sz="0" w:space="0" w:color="auto"/>
        <w:bottom w:val="none" w:sz="0" w:space="0" w:color="auto"/>
        <w:right w:val="none" w:sz="0" w:space="0" w:color="auto"/>
      </w:divBdr>
      <w:divsChild>
        <w:div w:id="503711592">
          <w:marLeft w:val="0"/>
          <w:marRight w:val="0"/>
          <w:marTop w:val="0"/>
          <w:marBottom w:val="0"/>
          <w:divBdr>
            <w:top w:val="none" w:sz="0" w:space="0" w:color="auto"/>
            <w:left w:val="none" w:sz="0" w:space="0" w:color="auto"/>
            <w:bottom w:val="none" w:sz="0" w:space="0" w:color="auto"/>
            <w:right w:val="none" w:sz="0" w:space="0" w:color="auto"/>
          </w:divBdr>
        </w:div>
        <w:div w:id="634870364">
          <w:marLeft w:val="0"/>
          <w:marRight w:val="0"/>
          <w:marTop w:val="0"/>
          <w:marBottom w:val="0"/>
          <w:divBdr>
            <w:top w:val="none" w:sz="0" w:space="0" w:color="auto"/>
            <w:left w:val="none" w:sz="0" w:space="0" w:color="auto"/>
            <w:bottom w:val="none" w:sz="0" w:space="0" w:color="auto"/>
            <w:right w:val="none" w:sz="0" w:space="0" w:color="auto"/>
          </w:divBdr>
        </w:div>
        <w:div w:id="758331037">
          <w:marLeft w:val="0"/>
          <w:marRight w:val="0"/>
          <w:marTop w:val="0"/>
          <w:marBottom w:val="0"/>
          <w:divBdr>
            <w:top w:val="none" w:sz="0" w:space="0" w:color="auto"/>
            <w:left w:val="none" w:sz="0" w:space="0" w:color="auto"/>
            <w:bottom w:val="none" w:sz="0" w:space="0" w:color="auto"/>
            <w:right w:val="none" w:sz="0" w:space="0" w:color="auto"/>
          </w:divBdr>
        </w:div>
        <w:div w:id="943733679">
          <w:marLeft w:val="0"/>
          <w:marRight w:val="0"/>
          <w:marTop w:val="0"/>
          <w:marBottom w:val="0"/>
          <w:divBdr>
            <w:top w:val="none" w:sz="0" w:space="0" w:color="auto"/>
            <w:left w:val="none" w:sz="0" w:space="0" w:color="auto"/>
            <w:bottom w:val="none" w:sz="0" w:space="0" w:color="auto"/>
            <w:right w:val="none" w:sz="0" w:space="0" w:color="auto"/>
          </w:divBdr>
        </w:div>
        <w:div w:id="1046179083">
          <w:marLeft w:val="0"/>
          <w:marRight w:val="0"/>
          <w:marTop w:val="0"/>
          <w:marBottom w:val="0"/>
          <w:divBdr>
            <w:top w:val="none" w:sz="0" w:space="0" w:color="auto"/>
            <w:left w:val="none" w:sz="0" w:space="0" w:color="auto"/>
            <w:bottom w:val="none" w:sz="0" w:space="0" w:color="auto"/>
            <w:right w:val="none" w:sz="0" w:space="0" w:color="auto"/>
          </w:divBdr>
        </w:div>
        <w:div w:id="1519656122">
          <w:marLeft w:val="0"/>
          <w:marRight w:val="0"/>
          <w:marTop w:val="0"/>
          <w:marBottom w:val="0"/>
          <w:divBdr>
            <w:top w:val="none" w:sz="0" w:space="0" w:color="auto"/>
            <w:left w:val="none" w:sz="0" w:space="0" w:color="auto"/>
            <w:bottom w:val="none" w:sz="0" w:space="0" w:color="auto"/>
            <w:right w:val="none" w:sz="0" w:space="0" w:color="auto"/>
          </w:divBdr>
        </w:div>
        <w:div w:id="63341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cophth.ac.uk/wp-content/uploads/2022/05/CTC-Level-2-1.docx" TargetMode="External" Id="rId8" /><Relationship Type="http://schemas.openxmlformats.org/officeDocument/2006/relationships/hyperlink" Target="https://www.rcophth.ac.uk/wp-content/uploads/2023/05/Level-3-SIA-Schedule.docx" TargetMode="External" Id="rId13" /><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rcophth.ac.uk/wp-content/uploads/2022/05/CTC-Level-1-1.docx" TargetMode="External" Id="rId7" /><Relationship Type="http://schemas.openxmlformats.org/officeDocument/2006/relationships/hyperlink" Target="https://www.rcophth.ac.uk/wp-content/uploads/2022/11/CTC-Urgent-Eye-Care-Level-3-1.docx" TargetMode="Externa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rcophth.ac.uk/wp-content/uploads/2022/11/CTC-Community-Ophthalmology-Level-3.docx"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https://www.rcophth.ac.uk/wp-content/uploads/2022/05/CTC-Cataract-Surgery-Level-1-4.docx" TargetMode="External"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yperlink" Target="https://www.rcophth.ac.uk/wp-content/uploads/2022/05/CTC-Generic-Domains-Level-1-4-1.docx" TargetMode="External" Id="rId9" /><Relationship Type="http://schemas.openxmlformats.org/officeDocument/2006/relationships/header" Target="header1.xml" Id="rId14" /><Relationship Type="http://schemas.openxmlformats.org/officeDocument/2006/relationships/hyperlink" Target="https://www.rcophth.ac.uk/wp-content/uploads/2023/08/Implementation-Note-1-CTC-2.docx" TargetMode="External" Id="Rcb74ac88dca142e9" /><Relationship Type="http://schemas.openxmlformats.org/officeDocument/2006/relationships/hyperlink" Target="https://www.rcophth.ac.uk/wp-content/uploads/2023/08/Implementation-Note-3-Transition-progression-requirements-2.docx" TargetMode="External" Id="Rffdc842afc494005" /><Relationship Type="http://schemas.openxmlformats.org/officeDocument/2006/relationships/hyperlink" Target="https://www.rcophth.ac.uk/wp-content/uploads/2023/08/Implementation-Note-4-CTCs-for-Level-3-Community-Ophthalmology-Urgent-Eye-Care-2.docx" TargetMode="External" Id="R0c802c2973a14cb8" /><Relationship Type="http://schemas.openxmlformats.org/officeDocument/2006/relationships/hyperlink" Target="https://www.rcophth.ac.uk/wp-content/uploads/2023/08/Implementation-Note-7-Level-3-sign-off-2.docx" TargetMode="External" Id="Ra4bf649e3f394138" /><Relationship Type="http://schemas.openxmlformats.org/officeDocument/2006/relationships/glossaryDocument" Target="glossary/document.xml" Id="Rcef1d62effa0423f"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b6ee00-5edc-4d98-807a-67656781b912}"/>
      </w:docPartPr>
      <w:docPartBody>
        <w:p w14:paraId="31ACB5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Cowie</dc:creator>
  <keywords/>
  <dc:description/>
  <lastModifiedBy>Kim Scrivener</lastModifiedBy>
  <revision>4</revision>
  <dcterms:created xsi:type="dcterms:W3CDTF">2023-08-01T13:42:00.0000000Z</dcterms:created>
  <dcterms:modified xsi:type="dcterms:W3CDTF">2023-08-01T14:19:38.4216949Z</dcterms:modified>
</coreProperties>
</file>