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C3C1" w14:textId="77777777" w:rsidR="001251C9" w:rsidRPr="002373DA" w:rsidRDefault="001251C9" w:rsidP="001F1470">
      <w:pPr>
        <w:pStyle w:val="BodyText"/>
        <w:spacing w:before="93"/>
        <w:ind w:left="224"/>
      </w:pPr>
      <w:r w:rsidRPr="002373DA">
        <w:rPr>
          <w:noProof/>
          <w:lang w:val="en-GB"/>
        </w:rPr>
        <w:drawing>
          <wp:inline distT="0" distB="0" distL="0" distR="0" wp14:anchorId="31E0D246" wp14:editId="18EF876C">
            <wp:extent cx="5075237" cy="1517650"/>
            <wp:effectExtent l="0" t="0" r="0" b="6350"/>
            <wp:docPr id="4101" name="Picture 4" descr="A picture containing text">
              <a:extLst xmlns:a="http://schemas.openxmlformats.org/drawingml/2006/main">
                <a:ext uri="{FF2B5EF4-FFF2-40B4-BE49-F238E27FC236}">
                  <a16:creationId xmlns:a16="http://schemas.microsoft.com/office/drawing/2014/main" id="{7FD1934E-BFB6-2C6B-B9BA-4A2CE9A4EF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4" descr="A picture containing text">
                      <a:extLst>
                        <a:ext uri="{FF2B5EF4-FFF2-40B4-BE49-F238E27FC236}">
                          <a16:creationId xmlns:a16="http://schemas.microsoft.com/office/drawing/2014/main" id="{7FD1934E-BFB6-2C6B-B9BA-4A2CE9A4EF6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5237"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3F9C3A7" w14:textId="77777777" w:rsidR="001251C9" w:rsidRPr="002373DA" w:rsidRDefault="001251C9" w:rsidP="001F1470">
      <w:pPr>
        <w:pStyle w:val="BodyText"/>
        <w:spacing w:before="93"/>
        <w:ind w:left="224"/>
      </w:pPr>
    </w:p>
    <w:p w14:paraId="368D3AE9" w14:textId="77777777" w:rsidR="001251C9" w:rsidRPr="002373DA" w:rsidRDefault="001251C9" w:rsidP="001F1470">
      <w:pPr>
        <w:pStyle w:val="BodyText"/>
        <w:spacing w:before="93"/>
        <w:ind w:left="224"/>
      </w:pPr>
    </w:p>
    <w:p w14:paraId="6AEA3F15" w14:textId="77777777" w:rsidR="00330E7B" w:rsidRPr="002373DA" w:rsidRDefault="00330E7B" w:rsidP="001F1470">
      <w:pPr>
        <w:pStyle w:val="BodyText"/>
        <w:spacing w:before="92"/>
        <w:ind w:left="224"/>
        <w:rPr>
          <w:sz w:val="40"/>
          <w:szCs w:val="40"/>
        </w:rPr>
      </w:pPr>
      <w:r w:rsidRPr="002373DA">
        <w:rPr>
          <w:sz w:val="40"/>
          <w:szCs w:val="40"/>
        </w:rPr>
        <w:t>Deterioration Of Sight Caused By Delay In Review Or Treatment: Frequency and morbidity</w:t>
      </w:r>
    </w:p>
    <w:p w14:paraId="33DD9FD7" w14:textId="77777777" w:rsidR="00330E7B" w:rsidRPr="002373DA" w:rsidRDefault="00330E7B" w:rsidP="001F1470">
      <w:pPr>
        <w:pStyle w:val="BodyText"/>
        <w:spacing w:before="92"/>
        <w:ind w:left="224"/>
        <w:rPr>
          <w:sz w:val="40"/>
          <w:szCs w:val="40"/>
        </w:rPr>
      </w:pPr>
    </w:p>
    <w:p w14:paraId="14F26CB6" w14:textId="3782E6D1" w:rsidR="00866E02" w:rsidRPr="002373DA" w:rsidRDefault="00866E02" w:rsidP="001F1470">
      <w:pPr>
        <w:pStyle w:val="BodyText"/>
        <w:spacing w:before="92"/>
        <w:ind w:left="224"/>
        <w:rPr>
          <w:sz w:val="28"/>
          <w:szCs w:val="28"/>
        </w:rPr>
      </w:pPr>
      <w:r w:rsidRPr="002373DA">
        <w:rPr>
          <w:sz w:val="28"/>
          <w:szCs w:val="28"/>
        </w:rPr>
        <w:t>Principal</w:t>
      </w:r>
      <w:r w:rsidRPr="002373DA">
        <w:rPr>
          <w:spacing w:val="-2"/>
          <w:sz w:val="28"/>
          <w:szCs w:val="28"/>
        </w:rPr>
        <w:t xml:space="preserve"> Investigator</w:t>
      </w:r>
    </w:p>
    <w:p w14:paraId="33414A46" w14:textId="17C0F041" w:rsidR="00866E02" w:rsidRPr="002373DA" w:rsidRDefault="002373DA" w:rsidP="001F1470">
      <w:pPr>
        <w:pStyle w:val="ListParagraph"/>
        <w:tabs>
          <w:tab w:val="left" w:pos="494"/>
        </w:tabs>
        <w:ind w:left="224" w:firstLine="0"/>
        <w:rPr>
          <w:sz w:val="24"/>
        </w:rPr>
      </w:pPr>
      <w:r w:rsidRPr="002373DA">
        <w:rPr>
          <w:sz w:val="24"/>
        </w:rPr>
        <w:t>Rashmi Mathew</w:t>
      </w:r>
      <w:r w:rsidR="00866E02" w:rsidRPr="002373DA">
        <w:rPr>
          <w:sz w:val="24"/>
        </w:rPr>
        <w:t>,</w:t>
      </w:r>
      <w:r w:rsidR="00866E02" w:rsidRPr="002373DA">
        <w:rPr>
          <w:spacing w:val="-3"/>
          <w:sz w:val="24"/>
        </w:rPr>
        <w:t xml:space="preserve"> </w:t>
      </w:r>
      <w:proofErr w:type="spellStart"/>
      <w:r w:rsidR="00866E02" w:rsidRPr="002373DA">
        <w:rPr>
          <w:sz w:val="24"/>
        </w:rPr>
        <w:t>FRCOphth</w:t>
      </w:r>
      <w:proofErr w:type="spellEnd"/>
      <w:r w:rsidR="00866E02" w:rsidRPr="002373DA">
        <w:rPr>
          <w:spacing w:val="-4"/>
          <w:sz w:val="24"/>
        </w:rPr>
        <w:t xml:space="preserve"> </w:t>
      </w:r>
      <w:r w:rsidR="00866E02" w:rsidRPr="002373DA">
        <w:rPr>
          <w:sz w:val="24"/>
        </w:rPr>
        <w:t>–</w:t>
      </w:r>
      <w:r w:rsidR="00866E02" w:rsidRPr="002373DA">
        <w:rPr>
          <w:spacing w:val="-2"/>
          <w:sz w:val="24"/>
        </w:rPr>
        <w:t xml:space="preserve"> </w:t>
      </w:r>
      <w:r w:rsidR="00866E02" w:rsidRPr="002373DA">
        <w:rPr>
          <w:sz w:val="24"/>
        </w:rPr>
        <w:t>Consultant</w:t>
      </w:r>
      <w:r w:rsidR="00866E02" w:rsidRPr="002373DA">
        <w:rPr>
          <w:spacing w:val="-5"/>
          <w:sz w:val="24"/>
        </w:rPr>
        <w:t xml:space="preserve"> </w:t>
      </w:r>
      <w:r w:rsidRPr="002373DA">
        <w:rPr>
          <w:sz w:val="24"/>
        </w:rPr>
        <w:t>Ophthalmologist</w:t>
      </w:r>
      <w:r w:rsidRPr="002373DA">
        <w:t xml:space="preserve"> </w:t>
      </w:r>
      <w:r w:rsidRPr="002373DA">
        <w:t>Moorfields</w:t>
      </w:r>
      <w:r w:rsidRPr="002373DA">
        <w:rPr>
          <w:spacing w:val="-4"/>
        </w:rPr>
        <w:t xml:space="preserve"> </w:t>
      </w:r>
      <w:r w:rsidRPr="002373DA">
        <w:t>Eye</w:t>
      </w:r>
      <w:r w:rsidRPr="002373DA">
        <w:rPr>
          <w:spacing w:val="-6"/>
        </w:rPr>
        <w:t xml:space="preserve"> </w:t>
      </w:r>
      <w:r w:rsidRPr="002373DA">
        <w:t>Hospital</w:t>
      </w:r>
    </w:p>
    <w:p w14:paraId="6ACB3632" w14:textId="77777777" w:rsidR="00866E02" w:rsidRPr="002373DA" w:rsidRDefault="00866E02" w:rsidP="001F1470">
      <w:pPr>
        <w:pStyle w:val="BodyText"/>
        <w:ind w:left="224"/>
      </w:pPr>
    </w:p>
    <w:p w14:paraId="10EB030B" w14:textId="77777777" w:rsidR="00866E02" w:rsidRPr="002373DA" w:rsidRDefault="00866E02" w:rsidP="001F1470">
      <w:pPr>
        <w:pStyle w:val="BodyText"/>
        <w:ind w:left="224"/>
        <w:rPr>
          <w:sz w:val="28"/>
          <w:szCs w:val="28"/>
        </w:rPr>
      </w:pPr>
      <w:r w:rsidRPr="002373DA">
        <w:rPr>
          <w:spacing w:val="-2"/>
          <w:sz w:val="28"/>
          <w:szCs w:val="28"/>
        </w:rPr>
        <w:t>Co-Investigators</w:t>
      </w:r>
    </w:p>
    <w:p w14:paraId="22E07F9C" w14:textId="3F8581A4" w:rsidR="00866E02" w:rsidRPr="002373DA" w:rsidRDefault="002373DA" w:rsidP="001F1470">
      <w:pPr>
        <w:pStyle w:val="ListParagraph"/>
        <w:tabs>
          <w:tab w:val="left" w:pos="494"/>
        </w:tabs>
        <w:spacing w:before="1"/>
        <w:ind w:left="224" w:firstLine="0"/>
        <w:rPr>
          <w:sz w:val="24"/>
        </w:rPr>
      </w:pPr>
      <w:r w:rsidRPr="002373DA">
        <w:rPr>
          <w:sz w:val="24"/>
        </w:rPr>
        <w:t>Keya Jafari</w:t>
      </w:r>
      <w:r w:rsidR="00866E02" w:rsidRPr="002373DA">
        <w:rPr>
          <w:spacing w:val="-17"/>
          <w:sz w:val="24"/>
        </w:rPr>
        <w:t xml:space="preserve"> </w:t>
      </w:r>
      <w:proofErr w:type="spellStart"/>
      <w:r w:rsidR="00866E02" w:rsidRPr="002373DA">
        <w:rPr>
          <w:sz w:val="24"/>
        </w:rPr>
        <w:t>FRCOphth</w:t>
      </w:r>
      <w:proofErr w:type="spellEnd"/>
      <w:r w:rsidR="00866E02" w:rsidRPr="002373DA">
        <w:rPr>
          <w:sz w:val="24"/>
        </w:rPr>
        <w:t>-Specialist</w:t>
      </w:r>
      <w:r w:rsidR="00866E02" w:rsidRPr="002373DA">
        <w:rPr>
          <w:spacing w:val="-6"/>
          <w:sz w:val="24"/>
        </w:rPr>
        <w:t xml:space="preserve"> </w:t>
      </w:r>
      <w:r w:rsidR="00866E02" w:rsidRPr="002373DA">
        <w:rPr>
          <w:spacing w:val="-2"/>
          <w:sz w:val="24"/>
        </w:rPr>
        <w:t>Registrar</w:t>
      </w:r>
      <w:r w:rsidRPr="002373DA">
        <w:rPr>
          <w:spacing w:val="-2"/>
          <w:sz w:val="24"/>
        </w:rPr>
        <w:t xml:space="preserve">, </w:t>
      </w:r>
      <w:r w:rsidRPr="002373DA">
        <w:t>Moorfields</w:t>
      </w:r>
      <w:r w:rsidRPr="002373DA">
        <w:rPr>
          <w:spacing w:val="-4"/>
        </w:rPr>
        <w:t xml:space="preserve"> </w:t>
      </w:r>
      <w:r w:rsidRPr="002373DA">
        <w:t>Eye</w:t>
      </w:r>
      <w:r w:rsidRPr="002373DA">
        <w:rPr>
          <w:spacing w:val="-6"/>
        </w:rPr>
        <w:t xml:space="preserve"> </w:t>
      </w:r>
      <w:r w:rsidRPr="002373DA">
        <w:t>Hospital</w:t>
      </w:r>
    </w:p>
    <w:p w14:paraId="35ECBECB" w14:textId="41CE9742" w:rsidR="00866E02" w:rsidRPr="002373DA" w:rsidRDefault="002373DA" w:rsidP="001F1470">
      <w:pPr>
        <w:pStyle w:val="ListParagraph"/>
        <w:tabs>
          <w:tab w:val="left" w:pos="494"/>
        </w:tabs>
        <w:ind w:left="224" w:firstLine="0"/>
        <w:rPr>
          <w:sz w:val="24"/>
        </w:rPr>
      </w:pPr>
      <w:r w:rsidRPr="002373DA">
        <w:rPr>
          <w:sz w:val="24"/>
        </w:rPr>
        <w:t>Barny Foot BOSU, The Royal College of Ophthalmologists</w:t>
      </w:r>
    </w:p>
    <w:p w14:paraId="56603EEC" w14:textId="77777777" w:rsidR="00866E02" w:rsidRPr="002373DA" w:rsidRDefault="00866E02" w:rsidP="001F1470">
      <w:pPr>
        <w:pStyle w:val="BodyText"/>
        <w:spacing w:before="11"/>
        <w:ind w:left="224"/>
        <w:rPr>
          <w:sz w:val="23"/>
        </w:rPr>
      </w:pPr>
    </w:p>
    <w:p w14:paraId="57875935" w14:textId="77777777" w:rsidR="001F1470" w:rsidRPr="002373DA" w:rsidRDefault="001F1470" w:rsidP="001F1470">
      <w:pPr>
        <w:pStyle w:val="BodyText"/>
        <w:spacing w:before="92"/>
        <w:ind w:left="224" w:right="660"/>
      </w:pPr>
      <w:r>
        <w:t xml:space="preserve">Contact Details: Barny Foot, </w:t>
      </w:r>
      <w:hyperlink r:id="rId6" w:history="1">
        <w:r w:rsidRPr="00F63117">
          <w:rPr>
            <w:rStyle w:val="Hyperlink"/>
          </w:rPr>
          <w:t>barny.foot@rcophth.ac.uk</w:t>
        </w:r>
      </w:hyperlink>
      <w:r>
        <w:t>, T: 0780 8581659</w:t>
      </w:r>
    </w:p>
    <w:p w14:paraId="49B08BDD" w14:textId="1148E96E" w:rsidR="00866E02" w:rsidRPr="002373DA" w:rsidRDefault="00866E02" w:rsidP="001F1470">
      <w:pPr>
        <w:ind w:left="224"/>
      </w:pPr>
    </w:p>
    <w:p w14:paraId="43871771" w14:textId="77777777" w:rsidR="00866E02" w:rsidRPr="002373DA" w:rsidRDefault="00866E02" w:rsidP="001F1470">
      <w:pPr>
        <w:pStyle w:val="BodyText"/>
        <w:spacing w:before="92"/>
        <w:ind w:left="224" w:right="812"/>
        <w:rPr>
          <w:sz w:val="28"/>
          <w:szCs w:val="28"/>
        </w:rPr>
      </w:pPr>
      <w:r w:rsidRPr="002373DA">
        <w:rPr>
          <w:sz w:val="28"/>
          <w:szCs w:val="28"/>
        </w:rPr>
        <w:t>Background</w:t>
      </w:r>
    </w:p>
    <w:p w14:paraId="6AA5035A" w14:textId="77777777" w:rsidR="002373DA" w:rsidRPr="002373DA" w:rsidRDefault="002373DA" w:rsidP="001F1470">
      <w:pPr>
        <w:pStyle w:val="NormalWeb"/>
        <w:ind w:left="224"/>
        <w:textAlignment w:val="baseline"/>
        <w:rPr>
          <w:rFonts w:ascii="Arial" w:eastAsia="Arial" w:hAnsi="Arial" w:cs="Arial"/>
          <w:szCs w:val="22"/>
          <w:lang w:val="en-US" w:eastAsia="en-US"/>
        </w:rPr>
      </w:pPr>
      <w:r w:rsidRPr="002373DA">
        <w:rPr>
          <w:rFonts w:ascii="Arial" w:eastAsia="Arial" w:hAnsi="Arial" w:cs="Arial"/>
          <w:szCs w:val="22"/>
          <w:lang w:val="en-US" w:eastAsia="en-US"/>
        </w:rPr>
        <w:t>Reports of a capacity shortfall in ophthalmic services brought about by an expanding and ageing population coupled with the rise in cost-effective treatment options leading to associated negative impacts on patient outcomes continue to place increasing pressures on the hospital eye service.</w:t>
      </w:r>
    </w:p>
    <w:p w14:paraId="577E7DF1" w14:textId="77777777" w:rsidR="002373DA" w:rsidRPr="002373DA" w:rsidRDefault="002373DA" w:rsidP="001F1470">
      <w:pPr>
        <w:pStyle w:val="NormalWeb"/>
        <w:ind w:left="224"/>
        <w:textAlignment w:val="baseline"/>
        <w:rPr>
          <w:rFonts w:ascii="Arial" w:eastAsia="Arial" w:hAnsi="Arial" w:cs="Arial"/>
          <w:szCs w:val="22"/>
          <w:lang w:val="en-US" w:eastAsia="en-US"/>
        </w:rPr>
      </w:pPr>
      <w:r w:rsidRPr="002373DA">
        <w:rPr>
          <w:rFonts w:ascii="Arial" w:eastAsia="Arial" w:hAnsi="Arial" w:cs="Arial"/>
          <w:szCs w:val="22"/>
          <w:lang w:val="en-US" w:eastAsia="en-US"/>
        </w:rPr>
        <w:t>In 2016 we reported that patients in the UK were suffering preventable harm due to health service-initiated delay at a minimum rate of 14 cases per month, with a likelihood of the true rate being between 16 and 22. This was occurring in patients of all ages, most consistently in those with chronic conditions with 78% of patients experiencing permanently reduced vision and 26% eligible for sight impaired or severe sight impaired registration challenging the NHS aspiration to provide high-quality care that is safe, effective and focused on patient experience in pursuit of timely and compassionate care for every person who uses and relies on its services. A second nationwide surveillance study three years later confirmed similar findings with 130 case reports, but increases in patients experiencing permanent visual loss and reaching the threshold for sight impairment or severe sight impairment registration.</w:t>
      </w:r>
    </w:p>
    <w:p w14:paraId="2AB2761F" w14:textId="77777777" w:rsidR="002373DA" w:rsidRPr="002373DA" w:rsidRDefault="002373DA" w:rsidP="001F1470">
      <w:pPr>
        <w:pStyle w:val="NormalWeb"/>
        <w:ind w:left="224"/>
        <w:textAlignment w:val="baseline"/>
        <w:rPr>
          <w:rFonts w:ascii="Arial" w:eastAsia="Arial" w:hAnsi="Arial" w:cs="Arial"/>
          <w:szCs w:val="22"/>
          <w:lang w:val="en-US" w:eastAsia="en-US"/>
        </w:rPr>
      </w:pPr>
      <w:r w:rsidRPr="002373DA">
        <w:rPr>
          <w:rFonts w:ascii="Arial" w:eastAsia="Arial" w:hAnsi="Arial" w:cs="Arial"/>
          <w:szCs w:val="22"/>
          <w:lang w:val="en-US" w:eastAsia="en-US"/>
        </w:rPr>
        <w:t>In addition to pre-existing service pressures the cessation of normal clinical practice during the coronavirus pandemic and reduced capacity in the return to normal service provision may have increased the number and length of delays. Concerns are not diminishing among those responsible for providing the hospital eye service making now a timely opportunity to re-examine the current situation to quantify the magnitude of any changes in morbidity caused by harm due to delays.</w:t>
      </w:r>
    </w:p>
    <w:p w14:paraId="319AA39B" w14:textId="34B8A7DD" w:rsidR="00866E02" w:rsidRPr="002373DA" w:rsidRDefault="00866E02" w:rsidP="001F1470">
      <w:pPr>
        <w:ind w:left="224"/>
      </w:pPr>
    </w:p>
    <w:p w14:paraId="17AA0DF9" w14:textId="77777777" w:rsidR="00866E02" w:rsidRPr="002373DA" w:rsidRDefault="00866E02" w:rsidP="001F1470">
      <w:pPr>
        <w:pStyle w:val="BodyText"/>
        <w:spacing w:before="92"/>
        <w:ind w:left="224" w:right="812"/>
        <w:rPr>
          <w:sz w:val="28"/>
          <w:szCs w:val="28"/>
        </w:rPr>
      </w:pPr>
      <w:r w:rsidRPr="002373DA">
        <w:rPr>
          <w:sz w:val="28"/>
          <w:szCs w:val="28"/>
        </w:rPr>
        <w:t>Statement Of Research Questions</w:t>
      </w:r>
    </w:p>
    <w:p w14:paraId="1581D817" w14:textId="77777777" w:rsidR="00866E02" w:rsidRPr="002373DA" w:rsidRDefault="00866E02" w:rsidP="001F1470">
      <w:pPr>
        <w:pStyle w:val="ListParagraph"/>
        <w:tabs>
          <w:tab w:val="left" w:pos="585"/>
          <w:tab w:val="left" w:pos="586"/>
        </w:tabs>
        <w:ind w:left="224" w:firstLine="0"/>
        <w:rPr>
          <w:sz w:val="24"/>
          <w:szCs w:val="24"/>
        </w:rPr>
      </w:pPr>
    </w:p>
    <w:p w14:paraId="70660103" w14:textId="77777777" w:rsidR="002373DA" w:rsidRPr="002373DA" w:rsidRDefault="002373DA" w:rsidP="001F1470">
      <w:pPr>
        <w:pStyle w:val="ListParagraph"/>
        <w:numPr>
          <w:ilvl w:val="0"/>
          <w:numId w:val="3"/>
        </w:numPr>
        <w:ind w:left="224" w:firstLine="0"/>
        <w:rPr>
          <w:sz w:val="24"/>
          <w:szCs w:val="24"/>
        </w:rPr>
      </w:pPr>
      <w:r w:rsidRPr="002373DA">
        <w:rPr>
          <w:sz w:val="24"/>
          <w:szCs w:val="24"/>
        </w:rPr>
        <w:t>To identify the frequency of patients presenting with loss of vision or visual function to the hospital eye service caused by a delay in receiving ophthalmic care.</w:t>
      </w:r>
    </w:p>
    <w:p w14:paraId="1441C55B" w14:textId="77777777" w:rsidR="002373DA" w:rsidRPr="002373DA" w:rsidRDefault="002373DA" w:rsidP="001F1470">
      <w:pPr>
        <w:pStyle w:val="ListParagraph"/>
        <w:numPr>
          <w:ilvl w:val="0"/>
          <w:numId w:val="3"/>
        </w:numPr>
        <w:ind w:left="224" w:firstLine="0"/>
        <w:rPr>
          <w:sz w:val="24"/>
          <w:szCs w:val="24"/>
        </w:rPr>
      </w:pPr>
      <w:r w:rsidRPr="002373DA">
        <w:rPr>
          <w:sz w:val="24"/>
          <w:szCs w:val="24"/>
        </w:rPr>
        <w:t>Describe the patterns of severity and the associated eye diseases and conditions</w:t>
      </w:r>
    </w:p>
    <w:p w14:paraId="3A3CF1E0" w14:textId="77777777" w:rsidR="002373DA" w:rsidRPr="002373DA" w:rsidRDefault="002373DA" w:rsidP="001F1470">
      <w:pPr>
        <w:pStyle w:val="ListParagraph"/>
        <w:numPr>
          <w:ilvl w:val="0"/>
          <w:numId w:val="3"/>
        </w:numPr>
        <w:ind w:left="224" w:firstLine="0"/>
        <w:rPr>
          <w:sz w:val="24"/>
          <w:szCs w:val="24"/>
        </w:rPr>
      </w:pPr>
      <w:r w:rsidRPr="002373DA">
        <w:rPr>
          <w:sz w:val="24"/>
          <w:szCs w:val="24"/>
        </w:rPr>
        <w:t>Describe the demographic characteristics of the patient population and report the resulting visual loss/morbidity</w:t>
      </w:r>
    </w:p>
    <w:p w14:paraId="2D43A8A8" w14:textId="314BA793" w:rsidR="00866E02" w:rsidRPr="002373DA" w:rsidRDefault="00866E02" w:rsidP="001F1470">
      <w:pPr>
        <w:ind w:left="224"/>
      </w:pPr>
    </w:p>
    <w:p w14:paraId="0D7E308C" w14:textId="6E9120B9" w:rsidR="00866E02" w:rsidRPr="002373DA" w:rsidRDefault="00866E02" w:rsidP="001F1470">
      <w:pPr>
        <w:pStyle w:val="BodyText"/>
        <w:spacing w:before="92"/>
        <w:ind w:left="224" w:right="660"/>
        <w:rPr>
          <w:sz w:val="28"/>
          <w:szCs w:val="28"/>
        </w:rPr>
      </w:pPr>
      <w:r w:rsidRPr="002373DA">
        <w:rPr>
          <w:sz w:val="28"/>
          <w:szCs w:val="28"/>
        </w:rPr>
        <w:t>Case Definition</w:t>
      </w:r>
    </w:p>
    <w:p w14:paraId="1E3CE546" w14:textId="7A254FF2" w:rsidR="002373DA" w:rsidRPr="002373DA" w:rsidRDefault="002373DA" w:rsidP="001F1470">
      <w:pPr>
        <w:pStyle w:val="BodyText"/>
        <w:numPr>
          <w:ilvl w:val="0"/>
          <w:numId w:val="4"/>
        </w:numPr>
        <w:spacing w:before="92"/>
        <w:ind w:left="224" w:right="660" w:firstLine="0"/>
      </w:pPr>
      <w:r w:rsidRPr="002373DA">
        <w:t>I</w:t>
      </w:r>
      <w:r w:rsidRPr="002373DA">
        <w:t>rreversible deterioration of vision in at least one eye of 3 lines of Snellen acuity or 15 letters on the ETDRS chart or deterioration in the visual field of 3 decibels due to a delay in ophthalmic review or care caused either wholly or partially by the health service including any delays related to COVID-19</w:t>
      </w:r>
    </w:p>
    <w:p w14:paraId="21346967" w14:textId="77777777" w:rsidR="002373DA" w:rsidRPr="002373DA" w:rsidRDefault="002373DA" w:rsidP="001F1470">
      <w:pPr>
        <w:pStyle w:val="BodyText"/>
        <w:numPr>
          <w:ilvl w:val="0"/>
          <w:numId w:val="4"/>
        </w:numPr>
        <w:spacing w:before="92"/>
        <w:ind w:left="224" w:right="660" w:firstLine="0"/>
      </w:pPr>
      <w:r w:rsidRPr="002373DA">
        <w:t>Patients whose vision has irreversibly deteriorated to below that measured on the Snellen chart to counting fingers or worse following a delay in ophthalmic review or care caused either wholly or partially by the health service including any delays related to COVID-19</w:t>
      </w:r>
    </w:p>
    <w:p w14:paraId="72BC4605" w14:textId="77777777" w:rsidR="002373DA" w:rsidRPr="002373DA" w:rsidRDefault="002373DA" w:rsidP="001F1470">
      <w:pPr>
        <w:pStyle w:val="BodyText"/>
        <w:numPr>
          <w:ilvl w:val="0"/>
          <w:numId w:val="4"/>
        </w:numPr>
        <w:spacing w:before="92"/>
        <w:ind w:left="224" w:right="660" w:firstLine="0"/>
      </w:pPr>
      <w:r w:rsidRPr="002373DA">
        <w:t>Patients who have required a surgical intervention that would have been unnecessary or avoidable should appropriate follow up taken place</w:t>
      </w:r>
    </w:p>
    <w:p w14:paraId="3BD71119" w14:textId="77777777" w:rsidR="002373DA" w:rsidRPr="002373DA" w:rsidRDefault="002373DA" w:rsidP="001F1470">
      <w:pPr>
        <w:pStyle w:val="BodyText"/>
        <w:spacing w:before="92"/>
        <w:ind w:left="224" w:right="660"/>
      </w:pPr>
      <w:r w:rsidRPr="002373DA">
        <w:t>Please exclude:</w:t>
      </w:r>
    </w:p>
    <w:p w14:paraId="44B7B97C" w14:textId="77777777" w:rsidR="002373DA" w:rsidRPr="002373DA" w:rsidRDefault="002373DA" w:rsidP="001F1470">
      <w:pPr>
        <w:pStyle w:val="BodyText"/>
        <w:spacing w:before="92"/>
        <w:ind w:left="224" w:right="660"/>
      </w:pPr>
    </w:p>
    <w:p w14:paraId="575395E0" w14:textId="77777777" w:rsidR="002373DA" w:rsidRPr="002373DA" w:rsidRDefault="002373DA" w:rsidP="001F1470">
      <w:pPr>
        <w:pStyle w:val="BodyText"/>
        <w:numPr>
          <w:ilvl w:val="0"/>
          <w:numId w:val="5"/>
        </w:numPr>
        <w:spacing w:before="92"/>
        <w:ind w:left="224" w:right="660" w:firstLine="0"/>
      </w:pPr>
      <w:r w:rsidRPr="002373DA">
        <w:t>Patients who are listed for routine cataract surgery where sight loss is expected to be temporary</w:t>
      </w:r>
    </w:p>
    <w:p w14:paraId="3CA98552" w14:textId="77777777" w:rsidR="002373DA" w:rsidRPr="002373DA" w:rsidRDefault="002373DA" w:rsidP="001F1470">
      <w:pPr>
        <w:pStyle w:val="BodyText"/>
        <w:numPr>
          <w:ilvl w:val="0"/>
          <w:numId w:val="5"/>
        </w:numPr>
        <w:spacing w:before="92"/>
        <w:ind w:left="224" w:right="660" w:firstLine="0"/>
      </w:pPr>
      <w:r w:rsidRPr="002373DA">
        <w:t>Harm due to delays caused solely by the patient’s failure to attend (DNA) are not included</w:t>
      </w:r>
    </w:p>
    <w:p w14:paraId="1F45731F" w14:textId="4E6C778D" w:rsidR="00866E02" w:rsidRDefault="002373DA" w:rsidP="001F1470">
      <w:pPr>
        <w:pStyle w:val="BodyText"/>
        <w:numPr>
          <w:ilvl w:val="0"/>
          <w:numId w:val="5"/>
        </w:numPr>
        <w:spacing w:before="92"/>
        <w:ind w:left="224" w:right="660" w:firstLine="0"/>
      </w:pPr>
      <w:r w:rsidRPr="002373DA">
        <w:t>Patients 18 years old or under</w:t>
      </w:r>
    </w:p>
    <w:p w14:paraId="4FBC3659" w14:textId="77777777" w:rsidR="001F1470" w:rsidRDefault="001F1470" w:rsidP="001F1470">
      <w:pPr>
        <w:pStyle w:val="BodyText"/>
        <w:spacing w:before="92"/>
        <w:ind w:left="224" w:right="660"/>
      </w:pPr>
    </w:p>
    <w:sectPr w:rsidR="001F1470" w:rsidSect="001251C9">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974"/>
    <w:multiLevelType w:val="hybridMultilevel"/>
    <w:tmpl w:val="074C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0562A"/>
    <w:multiLevelType w:val="hybridMultilevel"/>
    <w:tmpl w:val="B9F0B5B8"/>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2" w15:restartNumberingAfterBreak="0">
    <w:nsid w:val="564A0D3A"/>
    <w:multiLevelType w:val="hybridMultilevel"/>
    <w:tmpl w:val="29725A7A"/>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 w15:restartNumberingAfterBreak="0">
    <w:nsid w:val="5B4538E2"/>
    <w:multiLevelType w:val="hybridMultilevel"/>
    <w:tmpl w:val="0590ABF4"/>
    <w:lvl w:ilvl="0" w:tplc="79FAFB56">
      <w:start w:val="1"/>
      <w:numFmt w:val="decimal"/>
      <w:lvlText w:val="%1."/>
      <w:lvlJc w:val="left"/>
      <w:pPr>
        <w:ind w:left="493" w:hanging="269"/>
      </w:pPr>
      <w:rPr>
        <w:rFonts w:hint="default"/>
        <w:w w:val="99"/>
        <w:u w:val="single" w:color="000000"/>
        <w:lang w:val="en-US" w:eastAsia="en-US" w:bidi="ar-SA"/>
      </w:rPr>
    </w:lvl>
    <w:lvl w:ilvl="1" w:tplc="0809000F">
      <w:start w:val="1"/>
      <w:numFmt w:val="decimal"/>
      <w:lvlText w:val="%2."/>
      <w:lvlJc w:val="left"/>
      <w:pPr>
        <w:ind w:left="584" w:hanging="360"/>
      </w:pPr>
    </w:lvl>
    <w:lvl w:ilvl="2" w:tplc="79D69774">
      <w:numFmt w:val="bullet"/>
      <w:lvlText w:val="•"/>
      <w:lvlJc w:val="left"/>
      <w:pPr>
        <w:ind w:left="1722" w:hanging="361"/>
      </w:pPr>
      <w:rPr>
        <w:rFonts w:hint="default"/>
        <w:lang w:val="en-US" w:eastAsia="en-US" w:bidi="ar-SA"/>
      </w:rPr>
    </w:lvl>
    <w:lvl w:ilvl="3" w:tplc="CBEE27A8">
      <w:numFmt w:val="bullet"/>
      <w:lvlText w:val="•"/>
      <w:lvlJc w:val="left"/>
      <w:pPr>
        <w:ind w:left="2865" w:hanging="361"/>
      </w:pPr>
      <w:rPr>
        <w:rFonts w:hint="default"/>
        <w:lang w:val="en-US" w:eastAsia="en-US" w:bidi="ar-SA"/>
      </w:rPr>
    </w:lvl>
    <w:lvl w:ilvl="4" w:tplc="D548BB4E">
      <w:numFmt w:val="bullet"/>
      <w:lvlText w:val="•"/>
      <w:lvlJc w:val="left"/>
      <w:pPr>
        <w:ind w:left="4008" w:hanging="361"/>
      </w:pPr>
      <w:rPr>
        <w:rFonts w:hint="default"/>
        <w:lang w:val="en-US" w:eastAsia="en-US" w:bidi="ar-SA"/>
      </w:rPr>
    </w:lvl>
    <w:lvl w:ilvl="5" w:tplc="4E18643A">
      <w:numFmt w:val="bullet"/>
      <w:lvlText w:val="•"/>
      <w:lvlJc w:val="left"/>
      <w:pPr>
        <w:ind w:left="5151" w:hanging="361"/>
      </w:pPr>
      <w:rPr>
        <w:rFonts w:hint="default"/>
        <w:lang w:val="en-US" w:eastAsia="en-US" w:bidi="ar-SA"/>
      </w:rPr>
    </w:lvl>
    <w:lvl w:ilvl="6" w:tplc="9E1E5164">
      <w:numFmt w:val="bullet"/>
      <w:lvlText w:val="•"/>
      <w:lvlJc w:val="left"/>
      <w:pPr>
        <w:ind w:left="6294" w:hanging="361"/>
      </w:pPr>
      <w:rPr>
        <w:rFonts w:hint="default"/>
        <w:lang w:val="en-US" w:eastAsia="en-US" w:bidi="ar-SA"/>
      </w:rPr>
    </w:lvl>
    <w:lvl w:ilvl="7" w:tplc="DB8ACA02">
      <w:numFmt w:val="bullet"/>
      <w:lvlText w:val="•"/>
      <w:lvlJc w:val="left"/>
      <w:pPr>
        <w:ind w:left="7437" w:hanging="361"/>
      </w:pPr>
      <w:rPr>
        <w:rFonts w:hint="default"/>
        <w:lang w:val="en-US" w:eastAsia="en-US" w:bidi="ar-SA"/>
      </w:rPr>
    </w:lvl>
    <w:lvl w:ilvl="8" w:tplc="69600ACE">
      <w:numFmt w:val="bullet"/>
      <w:lvlText w:val="•"/>
      <w:lvlJc w:val="left"/>
      <w:pPr>
        <w:ind w:left="8580" w:hanging="361"/>
      </w:pPr>
      <w:rPr>
        <w:rFonts w:hint="default"/>
        <w:lang w:val="en-US" w:eastAsia="en-US" w:bidi="ar-SA"/>
      </w:rPr>
    </w:lvl>
  </w:abstractNum>
  <w:abstractNum w:abstractNumId="4" w15:restartNumberingAfterBreak="0">
    <w:nsid w:val="75E826DE"/>
    <w:multiLevelType w:val="hybridMultilevel"/>
    <w:tmpl w:val="A90CDFD0"/>
    <w:lvl w:ilvl="0" w:tplc="E9FC2744">
      <w:start w:val="1"/>
      <w:numFmt w:val="decimal"/>
      <w:lvlText w:val="%1."/>
      <w:lvlJc w:val="left"/>
      <w:pPr>
        <w:ind w:left="493" w:hanging="269"/>
      </w:pPr>
      <w:rPr>
        <w:rFonts w:ascii="Arial" w:eastAsia="Arial" w:hAnsi="Arial" w:cs="Arial" w:hint="default"/>
        <w:b w:val="0"/>
        <w:bCs w:val="0"/>
        <w:i w:val="0"/>
        <w:iCs w:val="0"/>
        <w:w w:val="99"/>
        <w:sz w:val="24"/>
        <w:szCs w:val="24"/>
        <w:lang w:val="en-US" w:eastAsia="en-US" w:bidi="ar-SA"/>
      </w:rPr>
    </w:lvl>
    <w:lvl w:ilvl="1" w:tplc="C5F28E34">
      <w:numFmt w:val="bullet"/>
      <w:lvlText w:val="•"/>
      <w:lvlJc w:val="left"/>
      <w:pPr>
        <w:ind w:left="1536" w:hanging="269"/>
      </w:pPr>
      <w:rPr>
        <w:rFonts w:hint="default"/>
        <w:lang w:val="en-US" w:eastAsia="en-US" w:bidi="ar-SA"/>
      </w:rPr>
    </w:lvl>
    <w:lvl w:ilvl="2" w:tplc="C6789342">
      <w:numFmt w:val="bullet"/>
      <w:lvlText w:val="•"/>
      <w:lvlJc w:val="left"/>
      <w:pPr>
        <w:ind w:left="2573" w:hanging="269"/>
      </w:pPr>
      <w:rPr>
        <w:rFonts w:hint="default"/>
        <w:lang w:val="en-US" w:eastAsia="en-US" w:bidi="ar-SA"/>
      </w:rPr>
    </w:lvl>
    <w:lvl w:ilvl="3" w:tplc="D880440C">
      <w:numFmt w:val="bullet"/>
      <w:lvlText w:val="•"/>
      <w:lvlJc w:val="left"/>
      <w:pPr>
        <w:ind w:left="3609" w:hanging="269"/>
      </w:pPr>
      <w:rPr>
        <w:rFonts w:hint="default"/>
        <w:lang w:val="en-US" w:eastAsia="en-US" w:bidi="ar-SA"/>
      </w:rPr>
    </w:lvl>
    <w:lvl w:ilvl="4" w:tplc="0E8C4ED0">
      <w:numFmt w:val="bullet"/>
      <w:lvlText w:val="•"/>
      <w:lvlJc w:val="left"/>
      <w:pPr>
        <w:ind w:left="4646" w:hanging="269"/>
      </w:pPr>
      <w:rPr>
        <w:rFonts w:hint="default"/>
        <w:lang w:val="en-US" w:eastAsia="en-US" w:bidi="ar-SA"/>
      </w:rPr>
    </w:lvl>
    <w:lvl w:ilvl="5" w:tplc="D1AA120E">
      <w:numFmt w:val="bullet"/>
      <w:lvlText w:val="•"/>
      <w:lvlJc w:val="left"/>
      <w:pPr>
        <w:ind w:left="5683" w:hanging="269"/>
      </w:pPr>
      <w:rPr>
        <w:rFonts w:hint="default"/>
        <w:lang w:val="en-US" w:eastAsia="en-US" w:bidi="ar-SA"/>
      </w:rPr>
    </w:lvl>
    <w:lvl w:ilvl="6" w:tplc="E1EE1B06">
      <w:numFmt w:val="bullet"/>
      <w:lvlText w:val="•"/>
      <w:lvlJc w:val="left"/>
      <w:pPr>
        <w:ind w:left="6719" w:hanging="269"/>
      </w:pPr>
      <w:rPr>
        <w:rFonts w:hint="default"/>
        <w:lang w:val="en-US" w:eastAsia="en-US" w:bidi="ar-SA"/>
      </w:rPr>
    </w:lvl>
    <w:lvl w:ilvl="7" w:tplc="0A1AF9DC">
      <w:numFmt w:val="bullet"/>
      <w:lvlText w:val="•"/>
      <w:lvlJc w:val="left"/>
      <w:pPr>
        <w:ind w:left="7756" w:hanging="269"/>
      </w:pPr>
      <w:rPr>
        <w:rFonts w:hint="default"/>
        <w:lang w:val="en-US" w:eastAsia="en-US" w:bidi="ar-SA"/>
      </w:rPr>
    </w:lvl>
    <w:lvl w:ilvl="8" w:tplc="25C8F51A">
      <w:numFmt w:val="bullet"/>
      <w:lvlText w:val="•"/>
      <w:lvlJc w:val="left"/>
      <w:pPr>
        <w:ind w:left="8793" w:hanging="269"/>
      </w:pPr>
      <w:rPr>
        <w:rFonts w:hint="default"/>
        <w:lang w:val="en-US" w:eastAsia="en-US" w:bidi="ar-SA"/>
      </w:rPr>
    </w:lvl>
  </w:abstractNum>
  <w:num w:numId="1" w16cid:durableId="1750880492">
    <w:abstractNumId w:val="4"/>
  </w:num>
  <w:num w:numId="2" w16cid:durableId="990906250">
    <w:abstractNumId w:val="3"/>
  </w:num>
  <w:num w:numId="3" w16cid:durableId="1367177667">
    <w:abstractNumId w:val="0"/>
  </w:num>
  <w:num w:numId="4" w16cid:durableId="1343044787">
    <w:abstractNumId w:val="2"/>
  </w:num>
  <w:num w:numId="5" w16cid:durableId="130790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02"/>
    <w:rsid w:val="001251C9"/>
    <w:rsid w:val="00197439"/>
    <w:rsid w:val="001F1470"/>
    <w:rsid w:val="002373DA"/>
    <w:rsid w:val="003309EC"/>
    <w:rsid w:val="00330E7B"/>
    <w:rsid w:val="003B5293"/>
    <w:rsid w:val="004304CF"/>
    <w:rsid w:val="0043460F"/>
    <w:rsid w:val="00637180"/>
    <w:rsid w:val="0086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857D"/>
  <w15:chartTrackingRefBased/>
  <w15:docId w15:val="{A4E9D9D4-3188-4465-9392-8E156CB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6E0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66E02"/>
    <w:rPr>
      <w:rFonts w:ascii="Arial" w:eastAsia="Arial" w:hAnsi="Arial" w:cs="Arial"/>
      <w:sz w:val="24"/>
      <w:szCs w:val="24"/>
      <w:lang w:val="en-US"/>
    </w:rPr>
  </w:style>
  <w:style w:type="paragraph" w:styleId="ListParagraph">
    <w:name w:val="List Paragraph"/>
    <w:basedOn w:val="Normal"/>
    <w:uiPriority w:val="1"/>
    <w:qFormat/>
    <w:rsid w:val="00866E02"/>
    <w:pPr>
      <w:widowControl w:val="0"/>
      <w:autoSpaceDE w:val="0"/>
      <w:autoSpaceDN w:val="0"/>
      <w:spacing w:after="0" w:line="240" w:lineRule="auto"/>
      <w:ind w:left="493" w:hanging="270"/>
    </w:pPr>
    <w:rPr>
      <w:rFonts w:ascii="Arial" w:eastAsia="Arial" w:hAnsi="Arial" w:cs="Arial"/>
      <w:lang w:val="en-US"/>
    </w:rPr>
  </w:style>
  <w:style w:type="paragraph" w:styleId="NormalWeb">
    <w:name w:val="Normal (Web)"/>
    <w:basedOn w:val="Normal"/>
    <w:uiPriority w:val="99"/>
    <w:semiHidden/>
    <w:unhideWhenUsed/>
    <w:rsid w:val="00237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1470"/>
    <w:rPr>
      <w:color w:val="0563C1" w:themeColor="hyperlink"/>
      <w:u w:val="single"/>
    </w:rPr>
  </w:style>
  <w:style w:type="character" w:styleId="UnresolvedMention">
    <w:name w:val="Unresolved Mention"/>
    <w:basedOn w:val="DefaultParagraphFont"/>
    <w:uiPriority w:val="99"/>
    <w:semiHidden/>
    <w:unhideWhenUsed/>
    <w:rsid w:val="001F1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2260">
      <w:bodyDiv w:val="1"/>
      <w:marLeft w:val="0"/>
      <w:marRight w:val="0"/>
      <w:marTop w:val="0"/>
      <w:marBottom w:val="0"/>
      <w:divBdr>
        <w:top w:val="none" w:sz="0" w:space="0" w:color="auto"/>
        <w:left w:val="none" w:sz="0" w:space="0" w:color="auto"/>
        <w:bottom w:val="none" w:sz="0" w:space="0" w:color="auto"/>
        <w:right w:val="none" w:sz="0" w:space="0" w:color="auto"/>
      </w:divBdr>
    </w:div>
    <w:div w:id="1205868948">
      <w:bodyDiv w:val="1"/>
      <w:marLeft w:val="0"/>
      <w:marRight w:val="0"/>
      <w:marTop w:val="0"/>
      <w:marBottom w:val="0"/>
      <w:divBdr>
        <w:top w:val="none" w:sz="0" w:space="0" w:color="auto"/>
        <w:left w:val="none" w:sz="0" w:space="0" w:color="auto"/>
        <w:bottom w:val="none" w:sz="0" w:space="0" w:color="auto"/>
        <w:right w:val="none" w:sz="0" w:space="0" w:color="auto"/>
      </w:divBdr>
    </w:div>
    <w:div w:id="18392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ny.foot@rcophth.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Barny Foot</dc:creator>
  <cp:keywords/>
  <dc:description/>
  <cp:lastModifiedBy>Barny Foot</cp:lastModifiedBy>
  <cp:revision>5</cp:revision>
  <dcterms:created xsi:type="dcterms:W3CDTF">2023-10-25T08:21:00Z</dcterms:created>
  <dcterms:modified xsi:type="dcterms:W3CDTF">2023-10-25T08:41:00Z</dcterms:modified>
</cp:coreProperties>
</file>