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57D9" w:rsidR="00772344" w:rsidP="00926592" w:rsidRDefault="00926592" w14:paraId="165E46F6" w14:textId="1F24C01E">
      <w:pPr>
        <w:pStyle w:val="Title"/>
        <w:rPr>
          <w:rFonts w:ascii="Aptos" w:hAnsi="Aptos"/>
        </w:rPr>
      </w:pPr>
      <w:r w:rsidRPr="60949059" w:rsidR="00926592">
        <w:rPr>
          <w:rFonts w:ascii="Aptos" w:hAnsi="Aptos"/>
          <w:b w:val="1"/>
          <w:bCs w:val="1"/>
        </w:rPr>
        <w:t>Refraction Focus Group 15 April 2026</w:t>
      </w:r>
    </w:p>
    <w:p w:rsidR="60949059" w:rsidP="60949059" w:rsidRDefault="60949059" w14:paraId="4B00F2C8" w14:textId="20726120">
      <w:pPr>
        <w:pStyle w:val="Normal"/>
      </w:pPr>
    </w:p>
    <w:p w:rsidR="3403F424" w:rsidP="371EDD14" w:rsidRDefault="3403F424" w14:paraId="4D72EE5E" w14:textId="20D584F3">
      <w:pPr>
        <w:pBdr>
          <w:top w:val="single" w:color="000000" w:sz="12" w:space="4"/>
          <w:left w:val="single" w:color="000000" w:sz="12" w:space="4"/>
          <w:bottom w:val="single" w:color="000000" w:sz="12" w:space="4"/>
          <w:right w:val="single" w:color="000000" w:sz="12" w:space="4"/>
        </w:pBdr>
        <w:jc w:val="center"/>
        <w:rPr>
          <w:sz w:val="28"/>
          <w:szCs w:val="28"/>
        </w:rPr>
      </w:pPr>
      <w:hyperlink r:id="R0e49a8a5701842b1">
        <w:r w:rsidRPr="371EDD14" w:rsidR="3403F424">
          <w:rPr>
            <w:rStyle w:val="Hyperlink"/>
            <w:sz w:val="28"/>
            <w:szCs w:val="28"/>
          </w:rPr>
          <w:t>Click here for recording of the Focus Group</w:t>
        </w:r>
      </w:hyperlink>
    </w:p>
    <w:p w:rsidRPr="00C057D9" w:rsidR="00772344" w:rsidRDefault="00000000" w14:paraId="0DEF4D44" w14:textId="77777777">
      <w:pPr>
        <w:spacing w:after="40"/>
        <w:rPr>
          <w:sz w:val="22"/>
        </w:rPr>
      </w:pPr>
      <w:r w:rsidRPr="00C057D9">
        <w:rPr>
          <w:b/>
          <w:sz w:val="22"/>
        </w:rPr>
        <w:t xml:space="preserve">Panel: </w:t>
      </w:r>
      <w:r w:rsidRPr="00C057D9">
        <w:rPr>
          <w:sz w:val="22"/>
        </w:rPr>
        <w:t>Steve Winder, Vikas Chadha, Luke Clifford, Alex Tytko, Vanna Fadda and Kim Scrivener.</w:t>
      </w:r>
    </w:p>
    <w:p w:rsidRPr="00C057D9" w:rsidR="00772344" w:rsidRDefault="00000000" w14:paraId="3073D71C" w14:textId="3E2CE086">
      <w:pPr>
        <w:spacing w:after="160"/>
        <w:rPr>
          <w:sz w:val="22"/>
        </w:rPr>
      </w:pPr>
      <w:r w:rsidRPr="00C057D9">
        <w:rPr>
          <w:b/>
          <w:sz w:val="22"/>
        </w:rPr>
        <w:t xml:space="preserve">Attendees </w:t>
      </w:r>
      <w:proofErr w:type="gramStart"/>
      <w:r w:rsidRPr="00C057D9">
        <w:rPr>
          <w:b/>
          <w:sz w:val="22"/>
        </w:rPr>
        <w:t>asking</w:t>
      </w:r>
      <w:proofErr w:type="gramEnd"/>
      <w:r w:rsidRPr="00C057D9">
        <w:rPr>
          <w:b/>
          <w:sz w:val="22"/>
        </w:rPr>
        <w:t xml:space="preserve"> questions: </w:t>
      </w:r>
      <w:r w:rsidRPr="00C057D9">
        <w:rPr>
          <w:sz w:val="22"/>
        </w:rPr>
        <w:t xml:space="preserve">Six participants attended, including </w:t>
      </w:r>
      <w:r w:rsidRPr="00C057D9" w:rsidR="00A146B1">
        <w:rPr>
          <w:sz w:val="22"/>
        </w:rPr>
        <w:t>residents</w:t>
      </w:r>
      <w:r w:rsidRPr="00C057D9">
        <w:rPr>
          <w:sz w:val="22"/>
        </w:rPr>
        <w:t xml:space="preserve"> and at least one college tutor / supervisor representative.</w:t>
      </w:r>
    </w:p>
    <w:p w:rsidRPr="00C057D9" w:rsidR="00772344" w:rsidP="00C057D9" w:rsidRDefault="00000000" w14:paraId="671029DB" w14:textId="77777777">
      <w:pPr>
        <w:pStyle w:val="Heading2"/>
        <w:rPr>
          <w:sz w:val="28"/>
          <w:szCs w:val="28"/>
        </w:rPr>
      </w:pPr>
      <w:r w:rsidRPr="00C057D9">
        <w:rPr>
          <w:sz w:val="28"/>
          <w:szCs w:val="28"/>
        </w:rPr>
        <w:t>Headline summary</w:t>
      </w:r>
    </w:p>
    <w:p w:rsidRPr="00C057D9" w:rsidR="00772344" w:rsidRDefault="00000000" w14:paraId="7222AAD8" w14:textId="4AF34A40">
      <w:pPr>
        <w:pStyle w:val="ListBullet"/>
        <w:spacing w:after="60"/>
        <w:rPr>
          <w:sz w:val="22"/>
        </w:rPr>
      </w:pPr>
      <w:r w:rsidRPr="00C057D9">
        <w:rPr>
          <w:sz w:val="22"/>
        </w:rPr>
        <w:t>The tone was supportive and pragmatic. Most discussion centred on how to complete the pilot requirements in real clinical settings.</w:t>
      </w:r>
    </w:p>
    <w:p w:rsidRPr="00C057D9" w:rsidR="00772344" w:rsidRDefault="00000000" w14:paraId="37011D13" w14:textId="77777777">
      <w:pPr>
        <w:pStyle w:val="ListBullet"/>
        <w:spacing w:after="60"/>
        <w:rPr>
          <w:sz w:val="22"/>
        </w:rPr>
      </w:pPr>
      <w:r w:rsidRPr="00C057D9">
        <w:rPr>
          <w:sz w:val="22"/>
        </w:rPr>
        <w:t>Participants who were progressing with the pilot reported that the logbook was generally straightforward and useful, but they were deliberately leaving EPA sign-off until they had built more experience closer to the submission deadline.</w:t>
      </w:r>
    </w:p>
    <w:p w:rsidRPr="00C057D9" w:rsidR="00772344" w:rsidRDefault="00000000" w14:paraId="40C53E70" w14:textId="169135B1">
      <w:pPr>
        <w:pStyle w:val="ListBullet"/>
        <w:spacing w:after="60"/>
        <w:rPr>
          <w:sz w:val="22"/>
        </w:rPr>
      </w:pPr>
      <w:r w:rsidRPr="00C057D9">
        <w:rPr>
          <w:sz w:val="22"/>
        </w:rPr>
        <w:t xml:space="preserve">The key practical issues raised </w:t>
      </w:r>
      <w:proofErr w:type="gramStart"/>
      <w:r w:rsidRPr="00C057D9">
        <w:rPr>
          <w:sz w:val="22"/>
        </w:rPr>
        <w:t>were:</w:t>
      </w:r>
      <w:proofErr w:type="gramEnd"/>
      <w:r w:rsidRPr="00C057D9">
        <w:rPr>
          <w:sz w:val="22"/>
        </w:rPr>
        <w:t xml:space="preserve"> what evidence is acceptable in the logbook; how to handle unsupervised refractions; whether visual acuity must be recorded for every entry; how to document staff members used for practice</w:t>
      </w:r>
      <w:r w:rsidRPr="00C057D9" w:rsidR="001A20A0">
        <w:rPr>
          <w:sz w:val="22"/>
        </w:rPr>
        <w:t xml:space="preserve"> refractions</w:t>
      </w:r>
      <w:r w:rsidRPr="00C057D9">
        <w:rPr>
          <w:sz w:val="22"/>
        </w:rPr>
        <w:t>; and what supplementary evidence is needed for EPA sign-off.</w:t>
      </w:r>
    </w:p>
    <w:p w:rsidRPr="00C057D9" w:rsidR="00772344" w:rsidRDefault="00000000" w14:paraId="69F9350A" w14:textId="77777777">
      <w:pPr>
        <w:pStyle w:val="ListBullet"/>
        <w:spacing w:after="60"/>
        <w:rPr>
          <w:sz w:val="22"/>
        </w:rPr>
      </w:pPr>
      <w:r w:rsidRPr="00C057D9">
        <w:rPr>
          <w:sz w:val="22"/>
        </w:rPr>
        <w:t>One participant working in a private setting had opted out because it had been difficult to obtain enough opportunities and time to complete the required sample size around clinical work. The panel treated this as important attrition feedback and asked that it be captured through the survey.</w:t>
      </w:r>
    </w:p>
    <w:p w:rsidRPr="00C057D9" w:rsidR="00772344" w:rsidRDefault="00000000" w14:paraId="18749F1F" w14:textId="77777777">
      <w:pPr>
        <w:pStyle w:val="ListBullet"/>
        <w:spacing w:after="60"/>
        <w:rPr>
          <w:sz w:val="22"/>
        </w:rPr>
      </w:pPr>
      <w:r w:rsidRPr="00C057D9">
        <w:rPr>
          <w:sz w:val="22"/>
        </w:rPr>
        <w:t>A small but clear theme was ongoing confusion about EPA processes, supervision and sign-off routes. The panel repeatedly clarified that the evidence package could be flexible and proportionate, provided there was enough information for the named clinical supervisor to make a judgement.</w:t>
      </w:r>
    </w:p>
    <w:p w:rsidRPr="00C057D9" w:rsidR="00772344" w:rsidRDefault="00000000" w14:paraId="4D091D9C" w14:textId="77777777">
      <w:pPr>
        <w:pStyle w:val="Heading1"/>
        <w:rPr>
          <w:rFonts w:ascii="Aptos" w:hAnsi="Aptos"/>
        </w:rPr>
      </w:pPr>
      <w:r w:rsidRPr="00C057D9">
        <w:rPr>
          <w:rFonts w:ascii="Aptos" w:hAnsi="Aptos"/>
        </w:rPr>
        <w:t>Main themes discussed</w:t>
      </w:r>
    </w:p>
    <w:tbl>
      <w:tblPr>
        <w:tblStyle w:val="TableGrid"/>
        <w:tblW w:w="9497" w:type="dxa"/>
        <w:tblInd w:w="526" w:type="dxa"/>
        <w:tblLayout w:type="fixed"/>
        <w:tblLook w:val="04A0" w:firstRow="1" w:lastRow="0" w:firstColumn="1" w:lastColumn="0" w:noHBand="0" w:noVBand="1"/>
      </w:tblPr>
      <w:tblGrid>
        <w:gridCol w:w="2786"/>
        <w:gridCol w:w="3312"/>
        <w:gridCol w:w="3399"/>
      </w:tblGrid>
      <w:tr w:rsidRPr="00C057D9" w:rsidR="00772344" w:rsidTr="60949059" w14:paraId="62C7C6F7" w14:textId="77777777">
        <w:tc>
          <w:tcPr>
            <w:tcW w:w="2786" w:type="dxa"/>
            <w:shd w:val="clear" w:color="auto" w:fill="D9EAF7"/>
            <w:tcMar>
              <w:top w:w="80" w:type="dxa"/>
              <w:left w:w="100" w:type="dxa"/>
              <w:bottom w:w="80" w:type="dxa"/>
              <w:right w:w="100" w:type="dxa"/>
            </w:tcMar>
          </w:tcPr>
          <w:p w:rsidRPr="00C057D9" w:rsidR="00772344" w:rsidRDefault="00000000" w14:paraId="71C1D019" w14:textId="77777777">
            <w:pPr>
              <w:rPr>
                <w:sz w:val="22"/>
              </w:rPr>
            </w:pPr>
            <w:r w:rsidRPr="00C057D9">
              <w:rPr>
                <w:b/>
                <w:color w:val="1F4E79"/>
                <w:sz w:val="22"/>
              </w:rPr>
              <w:t>Theme</w:t>
            </w:r>
          </w:p>
        </w:tc>
        <w:tc>
          <w:tcPr>
            <w:tcW w:w="3312" w:type="dxa"/>
            <w:shd w:val="clear" w:color="auto" w:fill="D9EAF7"/>
            <w:tcMar>
              <w:top w:w="80" w:type="dxa"/>
              <w:left w:w="100" w:type="dxa"/>
              <w:bottom w:w="80" w:type="dxa"/>
              <w:right w:w="100" w:type="dxa"/>
            </w:tcMar>
          </w:tcPr>
          <w:p w:rsidRPr="00C057D9" w:rsidR="00772344" w:rsidRDefault="00000000" w14:paraId="33593489" w14:textId="77777777">
            <w:pPr>
              <w:rPr>
                <w:sz w:val="22"/>
              </w:rPr>
            </w:pPr>
            <w:r w:rsidRPr="00C057D9">
              <w:rPr>
                <w:b/>
                <w:color w:val="1F4E79"/>
                <w:sz w:val="22"/>
              </w:rPr>
              <w:t>What participants raised</w:t>
            </w:r>
          </w:p>
        </w:tc>
        <w:tc>
          <w:tcPr>
            <w:tcW w:w="3399" w:type="dxa"/>
            <w:shd w:val="clear" w:color="auto" w:fill="D9EAF7"/>
            <w:tcMar>
              <w:top w:w="80" w:type="dxa"/>
              <w:left w:w="100" w:type="dxa"/>
              <w:bottom w:w="80" w:type="dxa"/>
              <w:right w:w="100" w:type="dxa"/>
            </w:tcMar>
          </w:tcPr>
          <w:p w:rsidRPr="00C057D9" w:rsidR="00772344" w:rsidRDefault="00000000" w14:paraId="00414384" w14:textId="77777777">
            <w:pPr>
              <w:rPr>
                <w:sz w:val="22"/>
              </w:rPr>
            </w:pPr>
            <w:r w:rsidRPr="00C057D9">
              <w:rPr>
                <w:b/>
                <w:color w:val="1F4E79"/>
                <w:sz w:val="22"/>
              </w:rPr>
              <w:t>Panel response / takeaway</w:t>
            </w:r>
          </w:p>
        </w:tc>
      </w:tr>
      <w:tr w:rsidRPr="00C057D9" w:rsidR="00772344" w:rsidTr="60949059" w14:paraId="3E90100E" w14:textId="77777777">
        <w:tc>
          <w:tcPr>
            <w:tcW w:w="2786" w:type="dxa"/>
            <w:tcMar>
              <w:top w:w="80" w:type="dxa"/>
              <w:left w:w="100" w:type="dxa"/>
              <w:bottom w:w="80" w:type="dxa"/>
              <w:right w:w="100" w:type="dxa"/>
            </w:tcMar>
          </w:tcPr>
          <w:p w:rsidRPr="00C057D9" w:rsidR="00772344" w:rsidRDefault="00000000" w14:paraId="2528CB6C" w14:textId="77777777">
            <w:pPr>
              <w:spacing w:after="20"/>
              <w:rPr>
                <w:sz w:val="22"/>
              </w:rPr>
            </w:pPr>
            <w:r w:rsidRPr="00C057D9">
              <w:rPr>
                <w:sz w:val="22"/>
              </w:rPr>
              <w:t>Logbook use</w:t>
            </w:r>
          </w:p>
        </w:tc>
        <w:tc>
          <w:tcPr>
            <w:tcW w:w="3312" w:type="dxa"/>
            <w:tcMar>
              <w:top w:w="80" w:type="dxa"/>
              <w:left w:w="100" w:type="dxa"/>
              <w:bottom w:w="80" w:type="dxa"/>
              <w:right w:w="100" w:type="dxa"/>
            </w:tcMar>
          </w:tcPr>
          <w:p w:rsidRPr="00C057D9" w:rsidR="00772344" w:rsidP="60949059" w:rsidRDefault="00000000" w14:paraId="2910C05C" w14:textId="58BCF96B">
            <w:pPr>
              <w:spacing w:after="20"/>
              <w:rPr>
                <w:sz w:val="22"/>
                <w:szCs w:val="22"/>
              </w:rPr>
            </w:pPr>
            <w:r w:rsidRPr="60949059" w:rsidR="402400CE">
              <w:rPr>
                <w:sz w:val="22"/>
                <w:szCs w:val="22"/>
              </w:rPr>
              <w:t>Participants</w:t>
            </w:r>
            <w:r w:rsidRPr="60949059">
              <w:rPr>
                <w:sz w:val="22"/>
                <w:szCs w:val="22"/>
              </w:rPr>
              <w:t xml:space="preserve"> said the logbook was easy enough to use and helpful for tracking refraction experience and numbers for the exam. They asked whether extra columns could be added to compare their own findings with those of a senior or optometrist.</w:t>
            </w:r>
          </w:p>
        </w:tc>
        <w:tc>
          <w:tcPr>
            <w:tcW w:w="3399" w:type="dxa"/>
            <w:tcMar>
              <w:top w:w="80" w:type="dxa"/>
              <w:left w:w="100" w:type="dxa"/>
              <w:bottom w:w="80" w:type="dxa"/>
              <w:right w:w="100" w:type="dxa"/>
            </w:tcMar>
          </w:tcPr>
          <w:p w:rsidRPr="00C057D9" w:rsidR="00772344" w:rsidRDefault="00000000" w14:paraId="02B03FE6" w14:textId="6407CBA6">
            <w:pPr>
              <w:spacing w:after="20"/>
              <w:rPr>
                <w:sz w:val="22"/>
              </w:rPr>
            </w:pPr>
            <w:r w:rsidRPr="00C057D9">
              <w:rPr>
                <w:sz w:val="22"/>
              </w:rPr>
              <w:t>Luke confirmed that extra columns are acceptable and that the logbook is intended to work for the users rather than as a rigid template. Flexibility was explicitly encouraged</w:t>
            </w:r>
            <w:r w:rsidR="00595B4A">
              <w:rPr>
                <w:sz w:val="22"/>
              </w:rPr>
              <w:t xml:space="preserve"> as one of the pilot’s aims was to </w:t>
            </w:r>
            <w:r w:rsidR="00A46347">
              <w:rPr>
                <w:sz w:val="22"/>
              </w:rPr>
              <w:t>test the logbook format.</w:t>
            </w:r>
          </w:p>
        </w:tc>
      </w:tr>
      <w:tr w:rsidRPr="00C057D9" w:rsidR="00772344" w:rsidTr="60949059" w14:paraId="1FFCAEA1" w14:textId="77777777">
        <w:tc>
          <w:tcPr>
            <w:tcW w:w="2786" w:type="dxa"/>
            <w:tcMar>
              <w:top w:w="80" w:type="dxa"/>
              <w:left w:w="100" w:type="dxa"/>
              <w:bottom w:w="80" w:type="dxa"/>
              <w:right w:w="100" w:type="dxa"/>
            </w:tcMar>
          </w:tcPr>
          <w:p w:rsidRPr="00C057D9" w:rsidR="00772344" w:rsidRDefault="00000000" w14:paraId="37C4B717" w14:textId="77777777">
            <w:pPr>
              <w:spacing w:after="20"/>
              <w:rPr>
                <w:sz w:val="22"/>
              </w:rPr>
            </w:pPr>
            <w:r w:rsidRPr="00C057D9">
              <w:rPr>
                <w:sz w:val="22"/>
              </w:rPr>
              <w:t>Required fields</w:t>
            </w:r>
          </w:p>
        </w:tc>
        <w:tc>
          <w:tcPr>
            <w:tcW w:w="3312" w:type="dxa"/>
            <w:tcMar>
              <w:top w:w="80" w:type="dxa"/>
              <w:left w:w="100" w:type="dxa"/>
              <w:bottom w:w="80" w:type="dxa"/>
              <w:right w:w="100" w:type="dxa"/>
            </w:tcMar>
          </w:tcPr>
          <w:p w:rsidRPr="00C057D9" w:rsidR="00772344" w:rsidP="60949059" w:rsidRDefault="00000000" w14:paraId="10B0BB36" w14:textId="66627D7A">
            <w:pPr>
              <w:spacing w:after="20"/>
              <w:rPr>
                <w:sz w:val="22"/>
                <w:szCs w:val="22"/>
              </w:rPr>
            </w:pPr>
            <w:r w:rsidRPr="60949059">
              <w:rPr>
                <w:sz w:val="22"/>
                <w:szCs w:val="22"/>
              </w:rPr>
              <w:t xml:space="preserve">Questions were asked about whether every refraction entry needs a visual acuity </w:t>
            </w:r>
            <w:r w:rsidRPr="60949059">
              <w:rPr>
                <w:sz w:val="22"/>
                <w:szCs w:val="22"/>
              </w:rPr>
              <w:t>recorded</w:t>
            </w:r>
            <w:r w:rsidRPr="60949059" w:rsidR="60D6B2A5">
              <w:rPr>
                <w:sz w:val="22"/>
                <w:szCs w:val="22"/>
              </w:rPr>
              <w:t>.</w:t>
            </w:r>
            <w:r w:rsidRPr="60949059">
              <w:rPr>
                <w:sz w:val="22"/>
                <w:szCs w:val="22"/>
              </w:rPr>
              <w:t xml:space="preserve"> </w:t>
            </w:r>
            <w:r w:rsidRPr="60949059">
              <w:rPr>
                <w:sz w:val="22"/>
                <w:szCs w:val="22"/>
              </w:rPr>
              <w:t>and whether unsupervised refractions can still be logged.</w:t>
            </w:r>
          </w:p>
        </w:tc>
        <w:tc>
          <w:tcPr>
            <w:tcW w:w="3399" w:type="dxa"/>
            <w:tcMar>
              <w:top w:w="80" w:type="dxa"/>
              <w:left w:w="100" w:type="dxa"/>
              <w:bottom w:w="80" w:type="dxa"/>
              <w:right w:w="100" w:type="dxa"/>
            </w:tcMar>
          </w:tcPr>
          <w:p w:rsidRPr="00C057D9" w:rsidR="00772344" w:rsidRDefault="00000000" w14:paraId="670AAF87" w14:textId="77777777">
            <w:pPr>
              <w:spacing w:after="20"/>
              <w:rPr>
                <w:sz w:val="22"/>
              </w:rPr>
            </w:pPr>
            <w:r w:rsidRPr="00C057D9">
              <w:rPr>
                <w:sz w:val="22"/>
              </w:rPr>
              <w:t xml:space="preserve">The answer was no: not every entry needs a VA, particularly for cycloplegic refractions, and </w:t>
            </w:r>
            <w:r w:rsidRPr="00C057D9">
              <w:rPr>
                <w:sz w:val="22"/>
              </w:rPr>
              <w:t>practice refractions should still be recorded even when they are not all directly supervised.</w:t>
            </w:r>
          </w:p>
        </w:tc>
      </w:tr>
      <w:tr w:rsidRPr="00C057D9" w:rsidR="00772344" w:rsidTr="60949059" w14:paraId="56F10390" w14:textId="77777777">
        <w:tc>
          <w:tcPr>
            <w:tcW w:w="2786" w:type="dxa"/>
            <w:tcMar>
              <w:top w:w="80" w:type="dxa"/>
              <w:left w:w="100" w:type="dxa"/>
              <w:bottom w:w="80" w:type="dxa"/>
              <w:right w:w="100" w:type="dxa"/>
            </w:tcMar>
          </w:tcPr>
          <w:p w:rsidRPr="00C057D9" w:rsidR="00772344" w:rsidRDefault="00000000" w14:paraId="3BC40F22" w14:textId="77777777">
            <w:pPr>
              <w:spacing w:after="20"/>
              <w:rPr>
                <w:sz w:val="22"/>
              </w:rPr>
            </w:pPr>
            <w:r w:rsidRPr="00C057D9">
              <w:rPr>
                <w:sz w:val="22"/>
              </w:rPr>
              <w:t>Comparison standard</w:t>
            </w:r>
          </w:p>
        </w:tc>
        <w:tc>
          <w:tcPr>
            <w:tcW w:w="3312" w:type="dxa"/>
            <w:tcMar>
              <w:top w:w="80" w:type="dxa"/>
              <w:left w:w="100" w:type="dxa"/>
              <w:bottom w:w="80" w:type="dxa"/>
              <w:right w:w="100" w:type="dxa"/>
            </w:tcMar>
          </w:tcPr>
          <w:p w:rsidRPr="00C057D9" w:rsidR="00772344" w:rsidRDefault="00000000" w14:paraId="6B85717A" w14:textId="77777777">
            <w:pPr>
              <w:spacing w:after="20"/>
              <w:rPr>
                <w:sz w:val="22"/>
              </w:rPr>
            </w:pPr>
            <w:r w:rsidRPr="00C057D9">
              <w:rPr>
                <w:sz w:val="22"/>
              </w:rPr>
              <w:t>Participants asked what should be entered when they could not cross-check every refraction with an optometrist and were instead comparing with focimetry or an existing prescription.</w:t>
            </w:r>
          </w:p>
        </w:tc>
        <w:tc>
          <w:tcPr>
            <w:tcW w:w="3399" w:type="dxa"/>
            <w:tcMar>
              <w:top w:w="80" w:type="dxa"/>
              <w:left w:w="100" w:type="dxa"/>
              <w:bottom w:w="80" w:type="dxa"/>
              <w:right w:w="100" w:type="dxa"/>
            </w:tcMar>
          </w:tcPr>
          <w:p w:rsidRPr="00C057D9" w:rsidR="00772344" w:rsidRDefault="00000000" w14:paraId="795F4543" w14:textId="270768A6">
            <w:pPr>
              <w:spacing w:after="20"/>
              <w:rPr>
                <w:sz w:val="22"/>
              </w:rPr>
            </w:pPr>
            <w:r w:rsidRPr="00C057D9">
              <w:rPr>
                <w:sz w:val="22"/>
              </w:rPr>
              <w:t xml:space="preserve">The panel said some comparator </w:t>
            </w:r>
            <w:r w:rsidR="00151B0E">
              <w:rPr>
                <w:sz w:val="22"/>
              </w:rPr>
              <w:t>was</w:t>
            </w:r>
            <w:r w:rsidRPr="00C057D9">
              <w:rPr>
                <w:sz w:val="22"/>
              </w:rPr>
              <w:t xml:space="preserve"> needed, but it can be pragmatic. Focimetry results or the patient’s prescription can be entered as comparison points, with the caveat that subjective elements may explain small differences.</w:t>
            </w:r>
          </w:p>
        </w:tc>
      </w:tr>
      <w:tr w:rsidRPr="00C057D9" w:rsidR="00772344" w:rsidTr="60949059" w14:paraId="1665920C" w14:textId="77777777">
        <w:tc>
          <w:tcPr>
            <w:tcW w:w="2786" w:type="dxa"/>
            <w:tcMar>
              <w:top w:w="80" w:type="dxa"/>
              <w:left w:w="100" w:type="dxa"/>
              <w:bottom w:w="80" w:type="dxa"/>
              <w:right w:w="100" w:type="dxa"/>
            </w:tcMar>
          </w:tcPr>
          <w:p w:rsidRPr="00C057D9" w:rsidR="00772344" w:rsidRDefault="00000000" w14:paraId="77229EA0" w14:textId="77777777">
            <w:pPr>
              <w:spacing w:after="20"/>
              <w:rPr>
                <w:sz w:val="22"/>
              </w:rPr>
            </w:pPr>
            <w:r w:rsidRPr="00C057D9">
              <w:rPr>
                <w:sz w:val="22"/>
              </w:rPr>
              <w:t>Staff as practice cases</w:t>
            </w:r>
          </w:p>
        </w:tc>
        <w:tc>
          <w:tcPr>
            <w:tcW w:w="3312" w:type="dxa"/>
            <w:tcMar>
              <w:top w:w="80" w:type="dxa"/>
              <w:left w:w="100" w:type="dxa"/>
              <w:bottom w:w="80" w:type="dxa"/>
              <w:right w:w="100" w:type="dxa"/>
            </w:tcMar>
          </w:tcPr>
          <w:p w:rsidRPr="00C057D9" w:rsidR="00772344" w:rsidRDefault="00000000" w14:paraId="062C4EDF" w14:textId="77777777">
            <w:pPr>
              <w:spacing w:after="20"/>
              <w:rPr>
                <w:sz w:val="22"/>
              </w:rPr>
            </w:pPr>
            <w:r w:rsidRPr="00C057D9">
              <w:rPr>
                <w:sz w:val="22"/>
              </w:rPr>
              <w:t>A participant asked how to identify staff members used for practice entries in the logbook.</w:t>
            </w:r>
          </w:p>
        </w:tc>
        <w:tc>
          <w:tcPr>
            <w:tcW w:w="3399" w:type="dxa"/>
            <w:tcMar>
              <w:top w:w="80" w:type="dxa"/>
              <w:left w:w="100" w:type="dxa"/>
              <w:bottom w:w="80" w:type="dxa"/>
              <w:right w:w="100" w:type="dxa"/>
            </w:tcMar>
          </w:tcPr>
          <w:p w:rsidRPr="00C057D9" w:rsidR="00772344" w:rsidRDefault="00000000" w14:paraId="6CDA8678" w14:textId="20BF7212">
            <w:pPr>
              <w:spacing w:after="20"/>
              <w:rPr>
                <w:sz w:val="22"/>
              </w:rPr>
            </w:pPr>
            <w:r w:rsidRPr="00C057D9">
              <w:rPr>
                <w:sz w:val="22"/>
              </w:rPr>
              <w:t>The panel advised that hospital numbers are not needed; “staff member” is sufficient, with initials optional only if useful to the trainee for their own record-keeping</w:t>
            </w:r>
            <w:r w:rsidR="00151B0E">
              <w:rPr>
                <w:sz w:val="22"/>
              </w:rPr>
              <w:t xml:space="preserve">, and to differentiate between </w:t>
            </w:r>
            <w:proofErr w:type="gramStart"/>
            <w:r w:rsidR="00151B0E">
              <w:rPr>
                <w:sz w:val="22"/>
              </w:rPr>
              <w:t>a large number of</w:t>
            </w:r>
            <w:proofErr w:type="gramEnd"/>
            <w:r w:rsidR="00151B0E">
              <w:rPr>
                <w:sz w:val="22"/>
              </w:rPr>
              <w:t xml:space="preserve"> such </w:t>
            </w:r>
            <w:r w:rsidR="00C8694E">
              <w:rPr>
                <w:sz w:val="22"/>
              </w:rPr>
              <w:t>records.</w:t>
            </w:r>
          </w:p>
        </w:tc>
      </w:tr>
      <w:tr w:rsidRPr="00C057D9" w:rsidR="00772344" w:rsidTr="60949059" w14:paraId="6192F2AD" w14:textId="77777777">
        <w:tc>
          <w:tcPr>
            <w:tcW w:w="2786" w:type="dxa"/>
            <w:tcMar>
              <w:top w:w="80" w:type="dxa"/>
              <w:left w:w="100" w:type="dxa"/>
              <w:bottom w:w="80" w:type="dxa"/>
              <w:right w:w="100" w:type="dxa"/>
            </w:tcMar>
          </w:tcPr>
          <w:p w:rsidRPr="00C057D9" w:rsidR="00772344" w:rsidRDefault="00000000" w14:paraId="51A091ED" w14:textId="77777777">
            <w:pPr>
              <w:spacing w:after="20"/>
              <w:rPr>
                <w:sz w:val="22"/>
              </w:rPr>
            </w:pPr>
            <w:r w:rsidRPr="00C057D9">
              <w:rPr>
                <w:sz w:val="22"/>
              </w:rPr>
              <w:t>EPA evidence and sign-off</w:t>
            </w:r>
          </w:p>
        </w:tc>
        <w:tc>
          <w:tcPr>
            <w:tcW w:w="3312" w:type="dxa"/>
            <w:tcMar>
              <w:top w:w="80" w:type="dxa"/>
              <w:left w:w="100" w:type="dxa"/>
              <w:bottom w:w="80" w:type="dxa"/>
              <w:right w:w="100" w:type="dxa"/>
            </w:tcMar>
          </w:tcPr>
          <w:p w:rsidRPr="00C057D9" w:rsidR="00772344" w:rsidRDefault="00000000" w14:paraId="180B1A73" w14:textId="77777777">
            <w:pPr>
              <w:spacing w:after="20"/>
              <w:rPr>
                <w:sz w:val="22"/>
              </w:rPr>
            </w:pPr>
            <w:r w:rsidRPr="00C057D9">
              <w:rPr>
                <w:sz w:val="22"/>
              </w:rPr>
              <w:t>A question was raised about learning from multiple optometrists and whether an MSF was needed.</w:t>
            </w:r>
          </w:p>
        </w:tc>
        <w:tc>
          <w:tcPr>
            <w:tcW w:w="3399" w:type="dxa"/>
            <w:tcMar>
              <w:top w:w="80" w:type="dxa"/>
              <w:left w:w="100" w:type="dxa"/>
              <w:bottom w:w="80" w:type="dxa"/>
              <w:right w:w="100" w:type="dxa"/>
            </w:tcMar>
          </w:tcPr>
          <w:p w:rsidRPr="00C057D9" w:rsidR="00772344" w:rsidRDefault="00000000" w14:paraId="7D027016" w14:textId="7A11354B">
            <w:pPr>
              <w:spacing w:after="20"/>
              <w:rPr>
                <w:sz w:val="22"/>
              </w:rPr>
            </w:pPr>
            <w:r w:rsidRPr="00C057D9">
              <w:rPr>
                <w:sz w:val="22"/>
              </w:rPr>
              <w:t xml:space="preserve">The panel clarified that an MSF is not </w:t>
            </w:r>
            <w:r w:rsidR="00C8694E">
              <w:rPr>
                <w:sz w:val="22"/>
              </w:rPr>
              <w:t>appropriate</w:t>
            </w:r>
            <w:r w:rsidRPr="00C057D9">
              <w:rPr>
                <w:sz w:val="22"/>
              </w:rPr>
              <w:t xml:space="preserve"> for this purpose. Instead, evidence should be collated through MARs and workplace-based assessments so that the named clinical supervisor can sign off the EPA.</w:t>
            </w:r>
          </w:p>
        </w:tc>
      </w:tr>
      <w:tr w:rsidRPr="00C057D9" w:rsidR="00772344" w:rsidTr="60949059" w14:paraId="724179A7" w14:textId="77777777">
        <w:tc>
          <w:tcPr>
            <w:tcW w:w="2786" w:type="dxa"/>
            <w:tcMar>
              <w:top w:w="80" w:type="dxa"/>
              <w:left w:w="100" w:type="dxa"/>
              <w:bottom w:w="80" w:type="dxa"/>
              <w:right w:w="100" w:type="dxa"/>
            </w:tcMar>
          </w:tcPr>
          <w:p w:rsidRPr="00C057D9" w:rsidR="00772344" w:rsidRDefault="00000000" w14:paraId="5D74CC42" w14:textId="77777777">
            <w:pPr>
              <w:spacing w:after="20"/>
              <w:rPr>
                <w:sz w:val="22"/>
              </w:rPr>
            </w:pPr>
            <w:r w:rsidRPr="00C057D9">
              <w:rPr>
                <w:sz w:val="22"/>
              </w:rPr>
              <w:t>Progress barriers</w:t>
            </w:r>
          </w:p>
        </w:tc>
        <w:tc>
          <w:tcPr>
            <w:tcW w:w="3312" w:type="dxa"/>
            <w:tcMar>
              <w:top w:w="80" w:type="dxa"/>
              <w:left w:w="100" w:type="dxa"/>
              <w:bottom w:w="80" w:type="dxa"/>
              <w:right w:w="100" w:type="dxa"/>
            </w:tcMar>
          </w:tcPr>
          <w:p w:rsidRPr="00C057D9" w:rsidR="00772344" w:rsidRDefault="00000000" w14:paraId="64CCF204" w14:textId="77777777">
            <w:pPr>
              <w:spacing w:after="20"/>
              <w:rPr>
                <w:sz w:val="22"/>
              </w:rPr>
            </w:pPr>
            <w:r w:rsidRPr="00C057D9">
              <w:rPr>
                <w:sz w:val="22"/>
              </w:rPr>
              <w:t>One specialty doctor explained that she had withdrawn because she could not get enough time and suitable patient opportunities around clinic commitments in a private setting.</w:t>
            </w:r>
          </w:p>
        </w:tc>
        <w:tc>
          <w:tcPr>
            <w:tcW w:w="3399" w:type="dxa"/>
            <w:tcMar>
              <w:top w:w="80" w:type="dxa"/>
              <w:left w:w="100" w:type="dxa"/>
              <w:bottom w:w="80" w:type="dxa"/>
              <w:right w:w="100" w:type="dxa"/>
            </w:tcMar>
          </w:tcPr>
          <w:p w:rsidRPr="00C057D9" w:rsidR="00772344" w:rsidRDefault="00000000" w14:paraId="256D6ED4" w14:textId="77777777">
            <w:pPr>
              <w:spacing w:after="20"/>
              <w:rPr>
                <w:sz w:val="22"/>
              </w:rPr>
            </w:pPr>
            <w:r w:rsidRPr="00C057D9">
              <w:rPr>
                <w:sz w:val="22"/>
              </w:rPr>
              <w:t>The panel accepted this as valid pilot feedback and emphasised that a survey response would still be useful so the reasons for attrition are formally captured.</w:t>
            </w:r>
          </w:p>
        </w:tc>
      </w:tr>
    </w:tbl>
    <w:p w:rsidRPr="00C057D9" w:rsidR="00772344" w:rsidRDefault="00000000" w14:paraId="54E4F62D" w14:textId="77777777">
      <w:pPr>
        <w:pStyle w:val="Heading1"/>
        <w:rPr>
          <w:rFonts w:ascii="Aptos" w:hAnsi="Aptos"/>
          <w:sz w:val="22"/>
          <w:szCs w:val="22"/>
        </w:rPr>
      </w:pPr>
      <w:r w:rsidRPr="00C057D9">
        <w:rPr>
          <w:rFonts w:ascii="Aptos" w:hAnsi="Aptos"/>
        </w:rPr>
        <w:t>Interpretation</w:t>
      </w:r>
    </w:p>
    <w:p w:rsidRPr="0042230E" w:rsidR="00772344" w:rsidP="0042230E" w:rsidRDefault="00000000" w14:paraId="6EC4F596" w14:textId="77777777">
      <w:pPr>
        <w:pStyle w:val="ListParagraph"/>
        <w:numPr>
          <w:ilvl w:val="0"/>
          <w:numId w:val="10"/>
        </w:numPr>
        <w:spacing w:after="120"/>
        <w:rPr>
          <w:sz w:val="22"/>
        </w:rPr>
      </w:pPr>
      <w:r w:rsidRPr="0042230E">
        <w:rPr>
          <w:sz w:val="22"/>
        </w:rPr>
        <w:t>The discussion suggests that the main issue at this stage of the pilot is not hostility to the model, but implementation friction. Participants largely accepted the principle of the pilot and were trying to comply, but they needed reassurance that the documentation could reflect real-world working patterns rather than a perfectly supervised training environment.</w:t>
      </w:r>
    </w:p>
    <w:p w:rsidRPr="0042230E" w:rsidR="00772344" w:rsidP="0042230E" w:rsidRDefault="00000000" w14:paraId="150E6226" w14:textId="77777777">
      <w:pPr>
        <w:pStyle w:val="ListParagraph"/>
        <w:numPr>
          <w:ilvl w:val="0"/>
          <w:numId w:val="10"/>
        </w:numPr>
        <w:spacing w:after="120"/>
        <w:rPr>
          <w:sz w:val="22"/>
        </w:rPr>
      </w:pPr>
      <w:r w:rsidRPr="0042230E">
        <w:rPr>
          <w:sz w:val="22"/>
        </w:rPr>
        <w:t>The most useful reassurance from the panel was that evidence can be pragmatic: logbooks can be adapted, every case does not need direct observation, and supervisors can rely on a bundle of workplace evidence rather than a single assessment source. That message appeared to reduce anxiety about “doing it wrong”.</w:t>
      </w:r>
    </w:p>
    <w:p w:rsidRPr="0042230E" w:rsidR="00772344" w:rsidP="0042230E" w:rsidRDefault="00000000" w14:paraId="63D7F996" w14:textId="77777777">
      <w:pPr>
        <w:pStyle w:val="ListParagraph"/>
        <w:numPr>
          <w:ilvl w:val="0"/>
          <w:numId w:val="10"/>
        </w:numPr>
        <w:spacing w:after="120"/>
        <w:rPr>
          <w:sz w:val="22"/>
        </w:rPr>
      </w:pPr>
      <w:r w:rsidRPr="0042230E">
        <w:rPr>
          <w:sz w:val="22"/>
        </w:rPr>
        <w:t>At the same time, the meeting exposed persistent uncertainty about EPA mechanics and terminology. The closing panel discussion itself noted that there still seemed to be confusion about what an EPA is and what participants must achieve. That points to a continuing need for very plain guidance in candidate messaging and FAQs.</w:t>
      </w:r>
    </w:p>
    <w:p w:rsidRPr="00577B4B" w:rsidR="00772344" w:rsidRDefault="00000000" w14:paraId="6F8EC8A7" w14:textId="77777777">
      <w:pPr>
        <w:pStyle w:val="Heading1"/>
        <w:rPr>
          <w:rFonts w:ascii="Aptos" w:hAnsi="Aptos"/>
        </w:rPr>
      </w:pPr>
      <w:r w:rsidRPr="00577B4B">
        <w:rPr>
          <w:rFonts w:ascii="Aptos" w:hAnsi="Aptos"/>
        </w:rPr>
        <w:t>Implications for follow-up</w:t>
      </w:r>
    </w:p>
    <w:p w:rsidRPr="00C057D9" w:rsidR="00772344" w:rsidRDefault="00000000" w14:paraId="53B4B4B7" w14:textId="77777777">
      <w:pPr>
        <w:pStyle w:val="ListBullet"/>
        <w:spacing w:after="60"/>
        <w:rPr>
          <w:sz w:val="22"/>
        </w:rPr>
      </w:pPr>
      <w:r w:rsidRPr="00C057D9">
        <w:rPr>
          <w:sz w:val="22"/>
        </w:rPr>
        <w:t>Keep candidate communications practical and specific, especially on acceptable logbook evidence, use of comparators, and the difference between MARs, workplace-based assessments and MSF.</w:t>
      </w:r>
    </w:p>
    <w:p w:rsidRPr="00C057D9" w:rsidR="00772344" w:rsidRDefault="00000000" w14:paraId="5685A8AC" w14:textId="77777777">
      <w:pPr>
        <w:pStyle w:val="ListBullet"/>
        <w:spacing w:after="60"/>
        <w:rPr>
          <w:sz w:val="22"/>
        </w:rPr>
      </w:pPr>
      <w:r w:rsidRPr="00C057D9">
        <w:rPr>
          <w:sz w:val="22"/>
        </w:rPr>
        <w:t>Retain attrition feedback as part of the evaluation. The private-practice withdrawal reinforces the importance of the pilot survey reaching people who dropped out as well as those who complete.</w:t>
      </w:r>
    </w:p>
    <w:p w:rsidRPr="00C057D9" w:rsidR="00772344" w:rsidRDefault="00000000" w14:paraId="60A4A04E" w14:textId="77777777">
      <w:pPr>
        <w:pStyle w:val="ListBullet"/>
        <w:spacing w:after="60"/>
        <w:rPr>
          <w:sz w:val="22"/>
        </w:rPr>
      </w:pPr>
      <w:r w:rsidRPr="00C057D9">
        <w:rPr>
          <w:sz w:val="22"/>
        </w:rPr>
        <w:t>Continue emphasising the key dates already agreed by the RPG: 8 May 2026 for EPA/logbook submission, 18 May for survey issue, 31 May as the initial survey deadline, and 1 July for the pilot review meeting.</w:t>
      </w:r>
    </w:p>
    <w:p w:rsidRPr="00C057D9" w:rsidR="00772344" w:rsidRDefault="00000000" w14:paraId="26A6B7AA" w14:textId="77777777">
      <w:pPr>
        <w:pStyle w:val="ListBullet"/>
        <w:spacing w:after="60"/>
        <w:rPr>
          <w:sz w:val="22"/>
        </w:rPr>
      </w:pPr>
      <w:r w:rsidRPr="00C057D9">
        <w:rPr>
          <w:sz w:val="22"/>
        </w:rPr>
        <w:t>Use the focus group feedback to refine FAQs and candidate messaging, particularly around practical workarounds and sign-off expectations.</w:t>
      </w:r>
    </w:p>
    <w:p w:rsidRPr="00C057D9" w:rsidR="00772344" w:rsidP="371EDD14" w:rsidRDefault="00772344" w14:paraId="7D211AF9" w14:textId="209820B9">
      <w:pPr>
        <w:spacing w:before="120" w:after="0"/>
        <w:rPr>
          <w:sz w:val="22"/>
          <w:szCs w:val="22"/>
        </w:rPr>
      </w:pPr>
    </w:p>
    <w:p w:rsidR="393E54E8" w:rsidP="371EDD14" w:rsidRDefault="393E54E8" w14:paraId="3D5EBE17" w14:textId="65A40408">
      <w:pPr>
        <w:spacing w:before="120" w:after="0"/>
        <w:rPr>
          <w:i w:val="1"/>
          <w:iCs w:val="1"/>
          <w:sz w:val="22"/>
          <w:szCs w:val="22"/>
        </w:rPr>
      </w:pPr>
      <w:r w:rsidRPr="371EDD14" w:rsidR="393E54E8">
        <w:rPr>
          <w:i w:val="1"/>
          <w:iCs w:val="1"/>
          <w:sz w:val="22"/>
          <w:szCs w:val="22"/>
        </w:rPr>
        <w:t>Summary based on AI of transcript</w:t>
      </w:r>
    </w:p>
    <w:sectPr w:rsidRPr="00C057D9" w:rsidR="00772344" w:rsidSect="00034616">
      <w:headerReference w:type="default" r:id="rId8"/>
      <w:footerReference w:type="default" r:id="rId9"/>
      <w:pgSz w:w="12240" w:h="15840" w:orient="portrait"/>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3586" w:rsidRDefault="00833586" w14:paraId="17457AA1" w14:textId="77777777">
      <w:pPr>
        <w:spacing w:after="0" w:line="240" w:lineRule="auto"/>
      </w:pPr>
      <w:r>
        <w:separator/>
      </w:r>
    </w:p>
  </w:endnote>
  <w:endnote w:type="continuationSeparator" w:id="0">
    <w:p w:rsidR="00833586" w:rsidRDefault="00833586" w14:paraId="0685FA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344" w:rsidRDefault="00000000" w14:paraId="38D1F07A" w14:textId="6C5482E1">
    <w:pPr>
      <w:pStyle w:val="Footer"/>
      <w:jc w:val="right"/>
    </w:pPr>
    <w:r>
      <w:rPr>
        <w:color w:val="646464"/>
        <w:sz w:val="18"/>
      </w:rPr>
      <w:t xml:space="preserve">Page </w:t>
    </w:r>
    <w:r>
      <w:fldChar w:fldCharType="begin"/>
    </w:r>
    <w:r>
      <w:instrText xml:space="preserve"> PAGE </w:instrText>
    </w:r>
    <w:r w:rsidR="00024095">
      <w:fldChar w:fldCharType="separate"/>
    </w:r>
    <w:r w:rsidR="0002409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3586" w:rsidRDefault="00833586" w14:paraId="11E1AD79" w14:textId="77777777">
      <w:pPr>
        <w:spacing w:after="0" w:line="240" w:lineRule="auto"/>
      </w:pPr>
      <w:r>
        <w:separator/>
      </w:r>
    </w:p>
  </w:footnote>
  <w:footnote w:type="continuationSeparator" w:id="0">
    <w:p w:rsidR="00833586" w:rsidRDefault="00833586" w14:paraId="4653C1E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344" w:rsidRDefault="00000000" w14:paraId="759D9117" w14:textId="77777777">
    <w:r>
      <w:rPr>
        <w:color w:val="646464"/>
        <w:sz w:val="18"/>
      </w:rPr>
      <w:t>Refraction Pilot Focus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677B23C1"/>
    <w:multiLevelType w:val="hybridMultilevel"/>
    <w:tmpl w:val="A6BAA52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110782378">
    <w:abstractNumId w:val="8"/>
  </w:num>
  <w:num w:numId="2" w16cid:durableId="1982272495">
    <w:abstractNumId w:val="6"/>
  </w:num>
  <w:num w:numId="3" w16cid:durableId="160051040">
    <w:abstractNumId w:val="5"/>
  </w:num>
  <w:num w:numId="4" w16cid:durableId="1414161944">
    <w:abstractNumId w:val="4"/>
  </w:num>
  <w:num w:numId="5" w16cid:durableId="33821644">
    <w:abstractNumId w:val="7"/>
  </w:num>
  <w:num w:numId="6" w16cid:durableId="328794729">
    <w:abstractNumId w:val="3"/>
  </w:num>
  <w:num w:numId="7" w16cid:durableId="944001462">
    <w:abstractNumId w:val="2"/>
  </w:num>
  <w:num w:numId="8" w16cid:durableId="1687704838">
    <w:abstractNumId w:val="1"/>
  </w:num>
  <w:num w:numId="9" w16cid:durableId="797995561">
    <w:abstractNumId w:val="0"/>
  </w:num>
  <w:num w:numId="10" w16cid:durableId="1518694876">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000"/>
    <w:rsid w:val="00024095"/>
    <w:rsid w:val="00034616"/>
    <w:rsid w:val="0006063C"/>
    <w:rsid w:val="0015074B"/>
    <w:rsid w:val="00151B0E"/>
    <w:rsid w:val="001950DF"/>
    <w:rsid w:val="001A20A0"/>
    <w:rsid w:val="0029639D"/>
    <w:rsid w:val="00326F90"/>
    <w:rsid w:val="003C41E1"/>
    <w:rsid w:val="0042230E"/>
    <w:rsid w:val="00577B4B"/>
    <w:rsid w:val="00595B4A"/>
    <w:rsid w:val="00772344"/>
    <w:rsid w:val="00833586"/>
    <w:rsid w:val="00926592"/>
    <w:rsid w:val="00967E8C"/>
    <w:rsid w:val="00996E03"/>
    <w:rsid w:val="009D3DC9"/>
    <w:rsid w:val="00A146B1"/>
    <w:rsid w:val="00A46347"/>
    <w:rsid w:val="00AA1D8D"/>
    <w:rsid w:val="00AC1425"/>
    <w:rsid w:val="00B47730"/>
    <w:rsid w:val="00C057D9"/>
    <w:rsid w:val="00C8694E"/>
    <w:rsid w:val="00CB0664"/>
    <w:rsid w:val="00F33B82"/>
    <w:rsid w:val="00FC693F"/>
    <w:rsid w:val="1472B047"/>
    <w:rsid w:val="1B8314EF"/>
    <w:rsid w:val="25FB931A"/>
    <w:rsid w:val="2E7B44B0"/>
    <w:rsid w:val="3403F424"/>
    <w:rsid w:val="371EDD14"/>
    <w:rsid w:val="393E54E8"/>
    <w:rsid w:val="3D00088C"/>
    <w:rsid w:val="402400CE"/>
    <w:rsid w:val="4DAA3971"/>
    <w:rsid w:val="4F10676E"/>
    <w:rsid w:val="5E6A7E8E"/>
    <w:rsid w:val="60949059"/>
    <w:rsid w:val="60D6B2A5"/>
    <w:rsid w:val="6691AC7A"/>
    <w:rsid w:val="67831CC0"/>
    <w:rsid w:val="6A129BCB"/>
    <w:rsid w:val="6E25B0A9"/>
    <w:rsid w:val="7E241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FE2686E-47B4-4BE4-8547-F2E446FE72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Aptos" w:hAnsi="Aptos" w:eastAsia="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F4E79"/>
      <w:spacing w:val="5"/>
      <w:kern w:val="28"/>
      <w:sz w:val="44"/>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371EDD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 Type="http://schemas.openxmlformats.org/officeDocument/2006/relationships/hyperlink" Target="https://vimeo.com/1185889765?share=copy&amp;fl=sv&amp;fe=ci" TargetMode="External" Id="R0e49a8a5701842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13" ma:contentTypeDescription="Create a new document." ma:contentTypeScope="" ma:versionID="976fefc8c9fba6213e4304298cd6802a">
  <xsd:schema xmlns:xsd="http://www.w3.org/2001/XMLSchema" xmlns:xs="http://www.w3.org/2001/XMLSchema" xmlns:p="http://schemas.microsoft.com/office/2006/metadata/properties" xmlns:ns2="de0c05ce-2670-4699-9ee3-2cb706886980" xmlns:ns3="e6b44929-a194-44d7-b7d5-914f81b1c3cd" targetNamespace="http://schemas.microsoft.com/office/2006/metadata/properties" ma:root="true" ma:fieldsID="4ed61286943e85c35fdf5eb2ba819ded" ns2:_="" ns3:_="">
    <xsd:import namespace="de0c05ce-2670-4699-9ee3-2cb706886980"/>
    <xsd:import namespace="e6b44929-a194-44d7-b7d5-914f81b1c3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6718ca-b33a-40bf-ab03-217e148d612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44929-a194-44d7-b7d5-914f81b1c3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b9da34-2970-4a05-acce-65ca8026ead1}" ma:internalName="TaxCatchAll" ma:showField="CatchAllData" ma:web="e6b44929-a194-44d7-b7d5-914f81b1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0c05ce-2670-4699-9ee3-2cb706886980">
      <Terms xmlns="http://schemas.microsoft.com/office/infopath/2007/PartnerControls"/>
    </lcf76f155ced4ddcb4097134ff3c332f>
    <TaxCatchAll xmlns="e6b44929-a194-44d7-b7d5-914f81b1c3cd"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2DE2925-8310-43F6-8544-0053419A94B2}"/>
</file>

<file path=customXml/itemProps3.xml><?xml version="1.0" encoding="utf-8"?>
<ds:datastoreItem xmlns:ds="http://schemas.openxmlformats.org/officeDocument/2006/customXml" ds:itemID="{ACC9276F-D4FF-4F9A-ADE5-223A1FD5EB3A}"/>
</file>

<file path=customXml/itemProps4.xml><?xml version="1.0" encoding="utf-8"?>
<ds:datastoreItem xmlns:ds="http://schemas.openxmlformats.org/officeDocument/2006/customXml" ds:itemID="{F0FD81D9-A086-4AA2-BEB8-D7EAF44702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Kim Scrivener</lastModifiedBy>
  <revision>22</revision>
  <dcterms:created xsi:type="dcterms:W3CDTF">2013-12-23T23:15:00.0000000Z</dcterms:created>
  <dcterms:modified xsi:type="dcterms:W3CDTF">2026-04-28T08:32:44.4362450Z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MediaServiceImageTags">
    <vt:lpwstr/>
  </property>
</Properties>
</file>